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680" w:bottom="280" w:left="360" w:right="360"/>
        </w:sect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48"/>
        <w:rPr>
          <w:rFonts w:ascii="Times New Roman"/>
          <w:sz w:val="2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435101</wp:posOffset>
                </wp:positionH>
                <wp:positionV relativeFrom="paragraph">
                  <wp:posOffset>-64217</wp:posOffset>
                </wp:positionV>
                <wp:extent cx="6913245" cy="18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13245" cy="18415"/>
                          <a:chExt cx="691324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132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245" h="9525">
                                <a:moveTo>
                                  <a:pt x="6912863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912863" y="0"/>
                                </a:lnTo>
                                <a:lnTo>
                                  <a:pt x="6912863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69132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245" h="18415">
                                <a:moveTo>
                                  <a:pt x="6912864" y="0"/>
                                </a:move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6903720" y="18288"/>
                                </a:lnTo>
                                <a:lnTo>
                                  <a:pt x="6912864" y="18288"/>
                                </a:lnTo>
                                <a:lnTo>
                                  <a:pt x="6912864" y="9144"/>
                                </a:lnTo>
                                <a:lnTo>
                                  <a:pt x="69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9143"/>
                                </a:lnTo>
                                <a:lnTo>
                                  <a:pt x="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59998pt;margin-top:-5.056492pt;width:544.35pt;height:1.45pt;mso-position-horizontal-relative:page;mso-position-vertical-relative:paragraph;z-index:15730176" id="docshapegroup1" coordorigin="685,-101" coordsize="10887,29">
                <v:rect style="position:absolute;left:685;top:-102;width:10887;height:15" id="docshape2" filled="true" fillcolor="#999999" stroked="false">
                  <v:fill type="solid"/>
                </v:rect>
                <v:shape style="position:absolute;left:685;top:-102;width:10887;height:29" id="docshape3" coordorigin="685,-101" coordsize="10887,29" path="m11572,-101l11557,-87,685,-87,685,-72,11557,-72,11572,-72,11572,-87,11572,-101xe" filled="true" fillcolor="#ededed" stroked="false">
                  <v:path arrowok="t"/>
                  <v:fill type="solid"/>
                </v:shape>
                <v:shape style="position:absolute;left:685;top:-102;width:15;height:29" id="docshape4" coordorigin="685,-101" coordsize="15,29" path="m685,-72l685,-101,700,-101,700,-87,685,-72xe" filled="true" fillcolor="#99999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371093</wp:posOffset>
            </wp:positionH>
            <wp:positionV relativeFrom="paragraph">
              <wp:posOffset>-695153</wp:posOffset>
            </wp:positionV>
            <wp:extent cx="1307591" cy="539495"/>
            <wp:effectExtent l="0" t="0" r="0" b="0"/>
            <wp:wrapNone/>
            <wp:docPr id="5" name="Image 5" descr="Stony Brook University Mai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Stony Brook University Mai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Reminder:</w:t>
      </w:r>
      <w:r>
        <w:rPr>
          <w:spacing w:val="-13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Security</w:t>
      </w:r>
      <w:r>
        <w:rPr>
          <w:spacing w:val="-13"/>
        </w:rPr>
        <w:t> </w:t>
      </w:r>
      <w:r>
        <w:rPr>
          <w:spacing w:val="-2"/>
        </w:rPr>
        <w:t>Training</w:t>
      </w:r>
    </w:p>
    <w:p>
      <w:pPr>
        <w:spacing w:before="21"/>
        <w:ind w:left="325" w:right="0" w:firstLine="0"/>
        <w:jc w:val="left"/>
        <w:rPr>
          <w:sz w:val="18"/>
        </w:rPr>
      </w:pPr>
      <w:r>
        <w:rPr>
          <w:color w:val="212121"/>
          <w:w w:val="105"/>
          <w:sz w:val="18"/>
        </w:rPr>
        <w:t>1</w:t>
      </w:r>
      <w:r>
        <w:rPr>
          <w:color w:val="212121"/>
          <w:spacing w:val="-2"/>
          <w:w w:val="105"/>
          <w:sz w:val="18"/>
        </w:rPr>
        <w:t> message</w:t>
      </w:r>
    </w:p>
    <w:p>
      <w:pPr>
        <w:spacing w:before="100"/>
        <w:ind w:left="22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12121"/>
          <w:w w:val="105"/>
          <w:sz w:val="18"/>
        </w:rPr>
        <w:t>Susan</w:t>
      </w:r>
      <w:r>
        <w:rPr>
          <w:b/>
          <w:color w:val="212121"/>
          <w:spacing w:val="-7"/>
          <w:w w:val="105"/>
          <w:sz w:val="18"/>
        </w:rPr>
        <w:t> </w:t>
      </w:r>
      <w:r>
        <w:rPr>
          <w:b/>
          <w:color w:val="212121"/>
          <w:w w:val="105"/>
          <w:sz w:val="18"/>
        </w:rPr>
        <w:t>Gasparo</w:t>
      </w:r>
      <w:r>
        <w:rPr>
          <w:b/>
          <w:color w:val="212121"/>
          <w:spacing w:val="-7"/>
          <w:w w:val="105"/>
          <w:sz w:val="18"/>
        </w:rPr>
        <w:t> </w:t>
      </w:r>
      <w:hyperlink r:id="rId6">
        <w:r>
          <w:rPr>
            <w:b/>
            <w:color w:val="212121"/>
            <w:spacing w:val="-2"/>
            <w:w w:val="105"/>
            <w:sz w:val="18"/>
          </w:rPr>
          <w:t>&lt;susan.gasparo@stonybrook.edu&gt;</w:t>
        </w:r>
      </w:hyperlink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680" w:bottom="280" w:left="360" w:right="360"/>
          <w:cols w:num="2" w:equalWidth="0">
            <w:col w:w="6257" w:space="178"/>
            <w:col w:w="5085"/>
          </w:cols>
        </w:sectPr>
      </w:pPr>
    </w:p>
    <w:p>
      <w:pPr>
        <w:pStyle w:val="BodyText"/>
        <w:spacing w:before="2" w:after="1"/>
        <w:rPr>
          <w:b/>
          <w:sz w:val="9"/>
        </w:rPr>
      </w:pPr>
    </w:p>
    <w:p>
      <w:pPr>
        <w:spacing w:line="28" w:lineRule="exact"/>
        <w:ind w:left="325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913245" cy="18415"/>
                <wp:effectExtent l="9525" t="0" r="0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13245" cy="18415"/>
                          <a:chExt cx="6913245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9132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245" h="9525">
                                <a:moveTo>
                                  <a:pt x="6912863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6912863" y="0"/>
                                </a:lnTo>
                                <a:lnTo>
                                  <a:pt x="6912863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9132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245" h="18415">
                                <a:moveTo>
                                  <a:pt x="6912864" y="0"/>
                                </a:move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6903720" y="18288"/>
                                </a:lnTo>
                                <a:lnTo>
                                  <a:pt x="6912864" y="18288"/>
                                </a:lnTo>
                                <a:lnTo>
                                  <a:pt x="6912864" y="9144"/>
                                </a:lnTo>
                                <a:lnTo>
                                  <a:pt x="6912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9143"/>
                                </a:lnTo>
                                <a:lnTo>
                                  <a:pt x="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35pt;height:1.45pt;mso-position-horizontal-relative:char;mso-position-vertical-relative:line" id="docshapegroup5" coordorigin="0,0" coordsize="10887,29">
                <v:rect style="position:absolute;left:0;top:0;width:10887;height:15" id="docshape6" filled="true" fillcolor="#999999" stroked="false">
                  <v:fill type="solid"/>
                </v:rect>
                <v:shape style="position:absolute;left:-1;top:0;width:10887;height:29" id="docshape7" coordorigin="0,0" coordsize="10887,29" path="m10886,0l10872,14,0,14,0,29,10872,29,10886,29,10886,14,10886,0xe" filled="true" fillcolor="#ededed" stroked="false">
                  <v:path arrowok="t"/>
                  <v:fill type="solid"/>
                </v:shape>
                <v:shape style="position:absolute;left:0;top:0;width:15;height:29" id="docshape8" coordorigin="0,0" coordsize="15,29" path="m0,29l0,0,14,0,14,14,0,29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tabs>
          <w:tab w:pos="8714" w:val="left" w:leader="none"/>
        </w:tabs>
        <w:spacing w:line="249" w:lineRule="auto" w:before="91"/>
        <w:ind w:left="325" w:right="306" w:firstLine="0"/>
        <w:jc w:val="left"/>
        <w:rPr>
          <w:sz w:val="18"/>
        </w:rPr>
      </w:pPr>
      <w:r>
        <w:rPr>
          <w:b/>
          <w:w w:val="105"/>
          <w:sz w:val="18"/>
        </w:rPr>
        <w:t>Office of Research Security </w:t>
      </w:r>
      <w:hyperlink r:id="rId7">
        <w:r>
          <w:rPr>
            <w:w w:val="105"/>
            <w:sz w:val="18"/>
          </w:rPr>
          <w:t>&lt;ovpr_researchsecurity_admin@stonybrook.edu&gt;</w:t>
        </w:r>
      </w:hyperlink>
      <w:r>
        <w:rPr>
          <w:sz w:val="18"/>
        </w:rPr>
        <w:tab/>
      </w:r>
      <w:r>
        <w:rPr>
          <w:w w:val="105"/>
          <w:sz w:val="18"/>
        </w:rPr>
        <w:t>Mon,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Oct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27,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2025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4:20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PM Reply-To: </w:t>
      </w:r>
      <w:hyperlink r:id="rId7">
        <w:r>
          <w:rPr>
            <w:w w:val="105"/>
            <w:sz w:val="18"/>
          </w:rPr>
          <w:t>ovpr_researchsecurity_admin@stonybrook.edu</w:t>
        </w:r>
      </w:hyperlink>
    </w:p>
    <w:p>
      <w:pPr>
        <w:spacing w:before="1"/>
        <w:ind w:left="325" w:right="0" w:firstLine="0"/>
        <w:jc w:val="left"/>
        <w:rPr>
          <w:sz w:val="18"/>
        </w:rPr>
      </w:pPr>
      <w:r>
        <w:rPr>
          <w:spacing w:val="-7"/>
          <w:w w:val="105"/>
          <w:sz w:val="18"/>
        </w:rPr>
        <w:t>To:</w:t>
      </w:r>
      <w:r>
        <w:rPr>
          <w:spacing w:val="-4"/>
          <w:w w:val="105"/>
          <w:sz w:val="18"/>
        </w:rPr>
        <w:t> </w:t>
      </w:r>
      <w:hyperlink r:id="rId6">
        <w:r>
          <w:rPr>
            <w:spacing w:val="-2"/>
            <w:w w:val="105"/>
            <w:sz w:val="18"/>
          </w:rPr>
          <w:t>susan.gasparo@stonybrook.edu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1102613</wp:posOffset>
            </wp:positionH>
            <wp:positionV relativeFrom="paragraph">
              <wp:posOffset>223604</wp:posOffset>
            </wp:positionV>
            <wp:extent cx="2743200" cy="768096"/>
            <wp:effectExtent l="0" t="0" r="0" b="0"/>
            <wp:wrapTopAndBottom/>
            <wp:docPr id="10" name="Image 10" descr="SBU Research and Innovation logo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SBU Research and Innovation logo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1056893</wp:posOffset>
                </wp:positionH>
                <wp:positionV relativeFrom="paragraph">
                  <wp:posOffset>1229444</wp:posOffset>
                </wp:positionV>
                <wp:extent cx="566928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692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18415">
                              <a:moveTo>
                                <a:pt x="5669279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5669279" y="0"/>
                              </a:lnTo>
                              <a:lnTo>
                                <a:pt x="5669279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219994pt;margin-top:96.806641pt;width:446.399944pt;height:1.44pt;mso-position-horizontal-relative:page;mso-position-vertical-relative:paragraph;z-index:-15727616;mso-wrap-distance-left:0;mso-wrap-distance-right:0" id="docshape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0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664"/>
        <w:jc w:val="both"/>
      </w:pPr>
      <w:r>
        <w:rPr>
          <w:color w:val="333333"/>
        </w:rPr>
        <w:t>Dear </w:t>
      </w:r>
      <w:r>
        <w:rPr>
          <w:color w:val="333333"/>
          <w:spacing w:val="-2"/>
        </w:rPr>
        <w:t>Colleague,</w:t>
      </w:r>
    </w:p>
    <w:p>
      <w:pPr>
        <w:pStyle w:val="BodyText"/>
        <w:spacing w:line="314" w:lineRule="auto" w:before="216"/>
        <w:ind w:left="1664" w:right="1576"/>
        <w:jc w:val="both"/>
      </w:pPr>
      <w:r>
        <w:rPr>
          <w:color w:val="333333"/>
        </w:rPr>
        <w:t>Research security training is valuable to all researchers. It covers the importance of research security,</w:t>
      </w:r>
      <w:r>
        <w:rPr>
          <w:color w:val="333333"/>
          <w:spacing w:val="40"/>
        </w:rPr>
        <w:t> </w:t>
      </w:r>
      <w:r>
        <w:rPr>
          <w:color w:val="333333"/>
        </w:rPr>
        <w:t>international activities (both at the university and abroad), disclosure, travel </w:t>
      </w:r>
      <w:r>
        <w:rPr>
          <w:color w:val="333333"/>
        </w:rPr>
        <w:t>security and managing risk.</w:t>
      </w:r>
    </w:p>
    <w:p>
      <w:pPr>
        <w:pStyle w:val="Heading2"/>
        <w:spacing w:before="147"/>
        <w:jc w:val="both"/>
      </w:pPr>
      <w:r>
        <w:rPr>
          <w:color w:val="333333"/>
        </w:rPr>
        <w:t>Research</w:t>
      </w:r>
      <w:r>
        <w:rPr>
          <w:color w:val="333333"/>
          <w:spacing w:val="-5"/>
        </w:rPr>
        <w:t> </w:t>
      </w:r>
      <w:r>
        <w:rPr>
          <w:color w:val="333333"/>
        </w:rPr>
        <w:t>Security</w:t>
      </w:r>
      <w:r>
        <w:rPr>
          <w:color w:val="333333"/>
          <w:spacing w:val="-2"/>
        </w:rPr>
        <w:t> </w:t>
      </w:r>
      <w:r>
        <w:rPr>
          <w:color w:val="333333"/>
        </w:rPr>
        <w:t>Training</w:t>
      </w:r>
      <w:r>
        <w:rPr>
          <w:color w:val="333333"/>
          <w:spacing w:val="-3"/>
        </w:rPr>
        <w:t> </w:t>
      </w:r>
      <w:r>
        <w:rPr>
          <w:color w:val="333333"/>
        </w:rPr>
        <w:t>Requirement</w:t>
      </w:r>
      <w:r>
        <w:rPr>
          <w:color w:val="333333"/>
          <w:spacing w:val="-2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Researchers</w:t>
      </w:r>
    </w:p>
    <w:p>
      <w:pPr>
        <w:pStyle w:val="BodyText"/>
        <w:spacing w:line="314" w:lineRule="auto" w:before="217"/>
        <w:ind w:left="1664" w:right="1429"/>
      </w:pPr>
      <w:r>
        <w:rPr>
          <w:color w:val="333333"/>
        </w:rPr>
        <w:t>Stony</w:t>
      </w:r>
      <w:r>
        <w:rPr>
          <w:color w:val="333333"/>
          <w:spacing w:val="-1"/>
        </w:rPr>
        <w:t> </w:t>
      </w:r>
      <w:r>
        <w:rPr>
          <w:color w:val="333333"/>
        </w:rPr>
        <w:t>Brook</w:t>
      </w:r>
      <w:r>
        <w:rPr>
          <w:color w:val="333333"/>
          <w:spacing w:val="-1"/>
        </w:rPr>
        <w:t> </w:t>
      </w:r>
      <w:r>
        <w:rPr>
          <w:color w:val="333333"/>
        </w:rPr>
        <w:t>University’s</w:t>
      </w:r>
      <w:r>
        <w:rPr>
          <w:color w:val="333333"/>
          <w:spacing w:val="-1"/>
        </w:rPr>
        <w:t> </w:t>
      </w:r>
      <w:hyperlink r:id="rId10">
        <w:r>
          <w:rPr>
            <w:color w:val="990000"/>
            <w:u w:val="single" w:color="990000"/>
          </w:rPr>
          <w:t>Polic</w:t>
        </w:r>
        <w:r>
          <w:rPr>
            <w:color w:val="990000"/>
            <w:u w:val="none"/>
          </w:rPr>
          <w:t>y</w:t>
        </w:r>
        <w:r>
          <w:rPr>
            <w:color w:val="990000"/>
            <w:spacing w:val="32"/>
            <w:u w:val="single" w:color="990000"/>
          </w:rPr>
          <w:t> </w:t>
        </w:r>
        <w:r>
          <w:rPr>
            <w:color w:val="990000"/>
            <w:u w:val="single" w:color="990000"/>
          </w:rPr>
          <w:t>on</w:t>
        </w:r>
        <w:r>
          <w:rPr>
            <w:color w:val="990000"/>
            <w:spacing w:val="-1"/>
            <w:u w:val="single" w:color="990000"/>
          </w:rPr>
          <w:t> </w:t>
        </w:r>
        <w:r>
          <w:rPr>
            <w:color w:val="990000"/>
            <w:u w:val="single" w:color="990000"/>
          </w:rPr>
          <w:t>International</w:t>
        </w:r>
        <w:r>
          <w:rPr>
            <w:color w:val="990000"/>
            <w:spacing w:val="-1"/>
            <w:u w:val="single" w:color="990000"/>
          </w:rPr>
          <w:t> </w:t>
        </w:r>
        <w:r>
          <w:rPr>
            <w:color w:val="990000"/>
            <w:u w:val="single" w:color="990000"/>
          </w:rPr>
          <w:t>Engagements</w:t>
        </w:r>
      </w:hyperlink>
      <w:r>
        <w:rPr>
          <w:color w:val="990000"/>
          <w:spacing w:val="-1"/>
          <w:u w:val="none"/>
        </w:rPr>
        <w:t> </w:t>
      </w:r>
      <w:r>
        <w:rPr>
          <w:color w:val="333333"/>
          <w:u w:val="none"/>
        </w:rPr>
        <w:t>requires</w:t>
      </w:r>
      <w:r>
        <w:rPr>
          <w:color w:val="333333"/>
          <w:spacing w:val="-1"/>
          <w:u w:val="none"/>
        </w:rPr>
        <w:t> </w:t>
      </w:r>
      <w:r>
        <w:rPr>
          <w:color w:val="333333"/>
          <w:u w:val="none"/>
        </w:rPr>
        <w:t>that</w:t>
      </w:r>
      <w:r>
        <w:rPr>
          <w:color w:val="333333"/>
          <w:spacing w:val="-1"/>
          <w:u w:val="none"/>
        </w:rPr>
        <w:t> </w:t>
      </w:r>
      <w:r>
        <w:rPr>
          <w:color w:val="333333"/>
          <w:u w:val="none"/>
        </w:rPr>
        <w:t>Research</w:t>
      </w:r>
      <w:r>
        <w:rPr>
          <w:color w:val="333333"/>
          <w:spacing w:val="-1"/>
          <w:u w:val="none"/>
        </w:rPr>
        <w:t> </w:t>
      </w:r>
      <w:r>
        <w:rPr>
          <w:color w:val="333333"/>
          <w:u w:val="none"/>
        </w:rPr>
        <w:t>Security training be completed by:</w:t>
      </w:r>
    </w:p>
    <w:p>
      <w:pPr>
        <w:pStyle w:val="ListParagraph"/>
        <w:numPr>
          <w:ilvl w:val="0"/>
          <w:numId w:val="1"/>
        </w:numPr>
        <w:tabs>
          <w:tab w:pos="1951" w:val="left" w:leader="none"/>
        </w:tabs>
        <w:spacing w:line="240" w:lineRule="auto" w:before="189" w:after="0"/>
        <w:ind w:left="1951" w:right="0" w:hanging="215"/>
        <w:jc w:val="left"/>
        <w:rPr>
          <w:sz w:val="20"/>
        </w:rPr>
      </w:pPr>
      <w:r>
        <w:rPr>
          <w:color w:val="333333"/>
          <w:sz w:val="20"/>
        </w:rPr>
        <w:t>All faculty involved in externally and internally funded research activities, </w:t>
      </w:r>
      <w:r>
        <w:rPr>
          <w:color w:val="333333"/>
          <w:spacing w:val="-5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1951" w:val="left" w:leader="none"/>
        </w:tabs>
        <w:spacing w:line="240" w:lineRule="auto" w:before="73" w:after="0"/>
        <w:ind w:left="1951" w:right="0" w:hanging="215"/>
        <w:jc w:val="left"/>
        <w:rPr>
          <w:sz w:val="20"/>
        </w:rPr>
      </w:pPr>
      <w:r>
        <w:rPr>
          <w:color w:val="333333"/>
          <w:sz w:val="20"/>
        </w:rPr>
        <w:t>Any non-faculty that meets the definition of “</w:t>
      </w:r>
      <w:hyperlink r:id="rId11">
        <w:r>
          <w:rPr>
            <w:color w:val="990000"/>
            <w:sz w:val="20"/>
            <w:u w:val="single" w:color="990000"/>
          </w:rPr>
          <w:t>covered individual</w:t>
        </w:r>
      </w:hyperlink>
      <w:r>
        <w:rPr>
          <w:color w:val="333333"/>
          <w:sz w:val="20"/>
          <w:u w:val="none"/>
        </w:rPr>
        <w:t>” (</w:t>
      </w:r>
      <w:hyperlink r:id="rId12">
        <w:r>
          <w:rPr>
            <w:color w:val="990000"/>
            <w:sz w:val="20"/>
            <w:u w:val="single" w:color="990000"/>
          </w:rPr>
          <w:t>42 USC</w:t>
        </w:r>
        <w:r>
          <w:rPr>
            <w:color w:val="990000"/>
            <w:spacing w:val="-4"/>
            <w:sz w:val="20"/>
            <w:u w:val="single" w:color="990000"/>
          </w:rPr>
          <w:t> </w:t>
        </w:r>
        <w:r>
          <w:rPr>
            <w:color w:val="990000"/>
            <w:sz w:val="20"/>
            <w:u w:val="none"/>
          </w:rPr>
          <w:t>§</w:t>
        </w:r>
        <w:r>
          <w:rPr>
            <w:color w:val="990000"/>
            <w:spacing w:val="4"/>
            <w:sz w:val="20"/>
            <w:u w:val="single" w:color="990000"/>
          </w:rPr>
          <w:t> </w:t>
        </w:r>
        <w:r>
          <w:rPr>
            <w:color w:val="990000"/>
            <w:spacing w:val="-2"/>
            <w:sz w:val="20"/>
            <w:u w:val="single" w:color="990000"/>
          </w:rPr>
          <w:t>19237(1</w:t>
        </w:r>
        <w:r>
          <w:rPr>
            <w:color w:val="990000"/>
            <w:spacing w:val="-2"/>
            <w:sz w:val="20"/>
            <w:u w:val="none"/>
          </w:rPr>
          <w:t>)</w:t>
        </w:r>
      </w:hyperlink>
      <w:r>
        <w:rPr>
          <w:color w:val="333333"/>
          <w:spacing w:val="-2"/>
          <w:sz w:val="20"/>
          <w:u w:val="none"/>
        </w:rPr>
        <w:t>).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333333"/>
        </w:rPr>
        <w:t>Training</w:t>
      </w:r>
      <w:r>
        <w:rPr>
          <w:color w:val="333333"/>
          <w:spacing w:val="-6"/>
        </w:rPr>
        <w:t> </w:t>
      </w:r>
      <w:r>
        <w:rPr>
          <w:color w:val="333333"/>
        </w:rPr>
        <w:t>Completion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Date</w:t>
      </w:r>
    </w:p>
    <w:p>
      <w:pPr>
        <w:pStyle w:val="BodyText"/>
        <w:spacing w:line="292" w:lineRule="auto" w:before="202"/>
        <w:ind w:left="1664" w:right="1429"/>
      </w:pPr>
      <w:r>
        <w:rPr>
          <w:color w:val="333333"/>
        </w:rPr>
        <w:t>Research Security</w:t>
      </w:r>
      <w:r>
        <w:rPr>
          <w:color w:val="333333"/>
          <w:spacing w:val="-3"/>
        </w:rPr>
        <w:t> </w:t>
      </w:r>
      <w:r>
        <w:rPr>
          <w:color w:val="333333"/>
        </w:rPr>
        <w:t>Training will be required for all proposal submissions after November </w:t>
      </w:r>
      <w:r>
        <w:rPr>
          <w:color w:val="333333"/>
        </w:rPr>
        <w:t>30, 2025. Note that some federal sponsors will require the training be completed earlier (see </w:t>
      </w:r>
      <w:r>
        <w:rPr>
          <w:color w:val="333333"/>
          <w:spacing w:val="-2"/>
        </w:rPr>
        <w:t>below):</w:t>
      </w:r>
    </w:p>
    <w:p>
      <w:pPr>
        <w:pStyle w:val="BodyText"/>
        <w:spacing w:before="224"/>
      </w:pP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314" w:lineRule="auto" w:before="1" w:after="0"/>
        <w:ind w:left="1952" w:right="1665" w:hanging="216"/>
        <w:jc w:val="left"/>
        <w:rPr>
          <w:sz w:val="20"/>
        </w:rPr>
      </w:pPr>
      <w:r>
        <w:rPr>
          <w:color w:val="333333"/>
          <w:sz w:val="20"/>
        </w:rPr>
        <w:t>The National Science Foundation, the Department of Energy and the Department of Agriculture require completion of the training within the previous 12 months of a </w:t>
      </w:r>
      <w:r>
        <w:rPr>
          <w:color w:val="333333"/>
          <w:sz w:val="20"/>
        </w:rPr>
        <w:t>proposal </w:t>
      </w:r>
      <w:r>
        <w:rPr>
          <w:color w:val="333333"/>
          <w:spacing w:val="-2"/>
          <w:sz w:val="20"/>
        </w:rPr>
        <w:t>submission.</w:t>
      </w:r>
    </w:p>
    <w:p>
      <w:pPr>
        <w:pStyle w:val="ListParagraph"/>
        <w:numPr>
          <w:ilvl w:val="0"/>
          <w:numId w:val="1"/>
        </w:numPr>
        <w:tabs>
          <w:tab w:pos="1952" w:val="left" w:leader="none"/>
        </w:tabs>
        <w:spacing w:line="285" w:lineRule="auto" w:before="0" w:after="0"/>
        <w:ind w:left="1952" w:right="1698" w:hanging="216"/>
        <w:jc w:val="left"/>
        <w:rPr>
          <w:sz w:val="20"/>
        </w:rPr>
      </w:pPr>
      <w:r>
        <w:rPr>
          <w:color w:val="333333"/>
          <w:sz w:val="20"/>
        </w:rPr>
        <w:t>The National Institutes of Health require completion of the training within the previous </w:t>
      </w:r>
      <w:r>
        <w:rPr>
          <w:color w:val="333333"/>
          <w:sz w:val="20"/>
        </w:rPr>
        <w:t>12 months of a Progress Report (RPPR) or Just-in-Time (JIT) submission.</w:t>
      </w:r>
    </w:p>
    <w:p>
      <w:pPr>
        <w:pStyle w:val="BodyText"/>
        <w:spacing w:line="285" w:lineRule="auto" w:before="190"/>
        <w:ind w:left="1664" w:right="1429"/>
      </w:pPr>
      <w:r>
        <w:rPr>
          <w:color w:val="333333"/>
        </w:rPr>
        <w:t>It is expected that other federal agencies will release similar requirements over the next </w:t>
      </w:r>
      <w:r>
        <w:rPr>
          <w:color w:val="333333"/>
        </w:rPr>
        <w:t>few months. Federal sponsors may also include training requirements beyond the minimum standards stated here in particular calls for proposals.</w:t>
      </w:r>
    </w:p>
    <w:p>
      <w:pPr>
        <w:pStyle w:val="BodyText"/>
        <w:spacing w:before="29"/>
      </w:pPr>
    </w:p>
    <w:p>
      <w:pPr>
        <w:pStyle w:val="Heading2"/>
      </w:pPr>
      <w:r>
        <w:rPr>
          <w:color w:val="333333"/>
        </w:rPr>
        <w:t>Required</w:t>
      </w:r>
      <w:r>
        <w:rPr>
          <w:color w:val="333333"/>
          <w:spacing w:val="-3"/>
        </w:rPr>
        <w:t> </w:t>
      </w:r>
      <w:r>
        <w:rPr>
          <w:color w:val="333333"/>
        </w:rPr>
        <w:t>Research</w:t>
      </w:r>
      <w:r>
        <w:rPr>
          <w:color w:val="333333"/>
          <w:spacing w:val="-3"/>
        </w:rPr>
        <w:t> </w:t>
      </w:r>
      <w:r>
        <w:rPr>
          <w:color w:val="333333"/>
        </w:rPr>
        <w:t>Security</w:t>
      </w:r>
      <w:r>
        <w:rPr>
          <w:color w:val="333333"/>
          <w:spacing w:val="-3"/>
        </w:rPr>
        <w:t> </w:t>
      </w:r>
      <w:r>
        <w:rPr>
          <w:color w:val="333333"/>
        </w:rPr>
        <w:t>Training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Course</w:t>
      </w:r>
    </w:p>
    <w:p>
      <w:pPr>
        <w:pStyle w:val="BodyText"/>
        <w:spacing w:line="314" w:lineRule="auto" w:before="72"/>
        <w:ind w:left="1664" w:right="1429"/>
      </w:pPr>
      <w:r>
        <w:rPr>
          <w:color w:val="333333"/>
        </w:rPr>
        <w:t>The Research Security (Condensed) Course is to be completed in Collaborative </w:t>
      </w:r>
      <w:r>
        <w:rPr>
          <w:color w:val="333333"/>
        </w:rPr>
        <w:t>Institutional Training Institute (CITI)*.</w:t>
      </w:r>
    </w:p>
    <w:p>
      <w:pPr>
        <w:pStyle w:val="BodyText"/>
        <w:spacing w:after="0" w:line="314" w:lineRule="auto"/>
        <w:sectPr>
          <w:type w:val="continuous"/>
          <w:pgSz w:w="12240" w:h="15840"/>
          <w:pgMar w:top="680" w:bottom="280" w:left="360" w:right="360"/>
        </w:sectPr>
      </w:pPr>
    </w:p>
    <w:p>
      <w:pPr>
        <w:pStyle w:val="BodyText"/>
        <w:spacing w:line="314" w:lineRule="auto" w:before="78"/>
        <w:ind w:left="1664" w:right="1429"/>
      </w:pPr>
      <w:r>
        <w:rPr>
          <w:color w:val="333333"/>
        </w:rPr>
        <w:t>*CITI is available to all SBU faculty, staff and students - Use the </w:t>
      </w:r>
      <w:hyperlink r:id="rId13">
        <w:r>
          <w:rPr>
            <w:color w:val="990000"/>
            <w:u w:val="single" w:color="990000"/>
          </w:rPr>
          <w:t>Log In Through M</w:t>
        </w:r>
        <w:r>
          <w:rPr>
            <w:color w:val="990000"/>
            <w:u w:val="none"/>
          </w:rPr>
          <w:t>y</w:t>
        </w:r>
      </w:hyperlink>
      <w:r>
        <w:rPr>
          <w:color w:val="990000"/>
          <w:u w:val="none"/>
        </w:rPr>
        <w:t> </w:t>
      </w:r>
      <w:hyperlink r:id="rId13">
        <w:r>
          <w:rPr>
            <w:color w:val="990000"/>
            <w:u w:val="single" w:color="990000"/>
          </w:rPr>
          <w:t>Organization</w:t>
        </w:r>
      </w:hyperlink>
      <w:r>
        <w:rPr>
          <w:color w:val="990000"/>
          <w:u w:val="none"/>
        </w:rPr>
        <w:t> </w:t>
      </w:r>
      <w:r>
        <w:rPr>
          <w:color w:val="333333"/>
          <w:u w:val="none"/>
        </w:rPr>
        <w:t>option (select SUNY - University at Stony Brook) and use your NetID and password. Directions: Select</w:t>
      </w:r>
      <w:r>
        <w:rPr>
          <w:color w:val="333333"/>
          <w:spacing w:val="40"/>
          <w:u w:val="none"/>
        </w:rPr>
        <w:t> </w:t>
      </w:r>
      <w:r>
        <w:rPr>
          <w:color w:val="333333"/>
          <w:u w:val="none"/>
        </w:rPr>
        <w:t>"Add a Course", then "I want to complete the Research </w:t>
      </w:r>
      <w:r>
        <w:rPr>
          <w:color w:val="333333"/>
          <w:u w:val="none"/>
        </w:rPr>
        <w:t>Security Course at this time", then select Research Security Training (Condensed), select "Next".</w:t>
      </w:r>
    </w:p>
    <w:p>
      <w:pPr>
        <w:pStyle w:val="BodyText"/>
        <w:spacing w:before="149"/>
        <w:ind w:left="1664"/>
      </w:pPr>
      <w:r>
        <w:rPr>
          <w:b/>
          <w:color w:val="333333"/>
        </w:rPr>
        <w:t>Note: </w:t>
      </w:r>
      <w:r>
        <w:rPr>
          <w:color w:val="333333"/>
        </w:rPr>
        <w:t>If you don't have a CITI account, you will be prompted to create </w:t>
      </w:r>
      <w:r>
        <w:rPr>
          <w:color w:val="333333"/>
          <w:spacing w:val="-4"/>
        </w:rPr>
        <w:t>one.</w:t>
      </w:r>
    </w:p>
    <w:p>
      <w:pPr>
        <w:pStyle w:val="Heading2"/>
        <w:spacing w:before="216"/>
      </w:pPr>
      <w:r>
        <w:rPr>
          <w:color w:val="333333"/>
          <w:spacing w:val="-2"/>
        </w:rPr>
        <w:t>Questions?</w:t>
      </w:r>
    </w:p>
    <w:p>
      <w:pPr>
        <w:pStyle w:val="BodyText"/>
        <w:spacing w:line="465" w:lineRule="auto" w:before="216"/>
        <w:ind w:left="1664" w:right="1429"/>
      </w:pPr>
      <w:r>
        <w:rPr>
          <w:color w:val="333333"/>
        </w:rPr>
        <w:t>Contact the Office of Research Security at </w:t>
      </w:r>
      <w:hyperlink r:id="rId7">
        <w:r>
          <w:rPr>
            <w:color w:val="990000"/>
            <w:u w:val="single" w:color="990000"/>
          </w:rPr>
          <w:t>ovpr_researchsecur</w:t>
        </w:r>
        <w:r>
          <w:rPr>
            <w:color w:val="990000"/>
            <w:u w:val="none"/>
          </w:rPr>
          <w:t>ity</w:t>
        </w:r>
        <w:r>
          <w:rPr>
            <w:color w:val="990000"/>
            <w:u w:val="single" w:color="990000"/>
          </w:rPr>
          <w:t>_admin@</w:t>
        </w:r>
      </w:hyperlink>
      <w:hyperlink r:id="rId7">
        <w:r>
          <w:rPr>
            <w:color w:val="990000"/>
            <w:u w:val="single" w:color="990000"/>
          </w:rPr>
          <w:t>stonybrook.edu</w:t>
        </w:r>
      </w:hyperlink>
      <w:r>
        <w:rPr>
          <w:color w:val="990000"/>
          <w:u w:val="none"/>
        </w:rPr>
        <w:t> </w:t>
      </w:r>
      <w:r>
        <w:rPr>
          <w:color w:val="333333"/>
          <w:spacing w:val="-2"/>
          <w:u w:val="none"/>
        </w:rPr>
        <w:t>Sincerely,</w:t>
      </w:r>
    </w:p>
    <w:p>
      <w:pPr>
        <w:spacing w:line="216" w:lineRule="exact" w:before="0"/>
        <w:ind w:left="1664" w:right="0" w:firstLine="0"/>
        <w:jc w:val="left"/>
        <w:rPr>
          <w:b/>
          <w:sz w:val="20"/>
        </w:rPr>
      </w:pPr>
      <w:r>
        <w:rPr>
          <w:b/>
          <w:color w:val="333333"/>
          <w:sz w:val="20"/>
        </w:rPr>
        <w:t>Office of Research </w:t>
      </w:r>
      <w:r>
        <w:rPr>
          <w:b/>
          <w:color w:val="333333"/>
          <w:spacing w:val="-2"/>
          <w:sz w:val="20"/>
        </w:rPr>
        <w:t>Security</w:t>
      </w:r>
    </w:p>
    <w:p>
      <w:pPr>
        <w:spacing w:before="217"/>
        <w:ind w:left="1664" w:right="0" w:firstLine="0"/>
        <w:jc w:val="left"/>
        <w:rPr>
          <w:b/>
          <w:sz w:val="20"/>
        </w:rPr>
      </w:pPr>
      <w:r>
        <w:rPr>
          <w:b/>
          <w:color w:val="333333"/>
          <w:sz w:val="20"/>
        </w:rPr>
        <w:t>Stony Brook </w:t>
      </w:r>
      <w:r>
        <w:rPr>
          <w:b/>
          <w:color w:val="333333"/>
          <w:spacing w:val="-2"/>
          <w:sz w:val="20"/>
        </w:rPr>
        <w:t>University</w:t>
      </w:r>
    </w:p>
    <w:sectPr>
      <w:pgSz w:w="12240" w:h="15840"/>
      <w:pgMar w:top="5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6.0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952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5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8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6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51" w:hanging="21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usan.gasparo@stonybrook.edu" TargetMode="External"/><Relationship Id="rId7" Type="http://schemas.openxmlformats.org/officeDocument/2006/relationships/hyperlink" Target="mailto:ovpr_researchsecurity_admin@stonybrook.edu" TargetMode="External"/><Relationship Id="rId8" Type="http://schemas.openxmlformats.org/officeDocument/2006/relationships/hyperlink" Target="https://t.e2ma.net/click/yyqxns/erzb4z/uvdiroc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t.e2ma.net/click/yyqxns/erzb4z/aoeiroc" TargetMode="External"/><Relationship Id="rId11" Type="http://schemas.openxmlformats.org/officeDocument/2006/relationships/hyperlink" Target="https://t.e2ma.net/click/yyqxns/erzb4z/qgfiroc" TargetMode="External"/><Relationship Id="rId12" Type="http://schemas.openxmlformats.org/officeDocument/2006/relationships/hyperlink" Target="https://t.e2ma.net/click/yyqxns/erzb4z/68firoc" TargetMode="External"/><Relationship Id="rId13" Type="http://schemas.openxmlformats.org/officeDocument/2006/relationships/hyperlink" Target="https://t.e2ma.net/click/yyqxns/erzb4z/m1giroc" TargetMode="External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Stony Brook University Mail - Reminder: Required Research Security Training</dc:title>
  <dcterms:created xsi:type="dcterms:W3CDTF">2026-03-11T21:24:44Z</dcterms:created>
  <dcterms:modified xsi:type="dcterms:W3CDTF">2026-03-11T21:24:44Z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2026-03-11T00:00:00Z</vt:filetime>
  </property>
  <property fmtid="{D5CDD505-2E9C-101B-9397-08002B2CF9AE}" pid="5" name="Producer">
    <vt:lpwstr>Skia/PDF m142</vt:lpwstr>
  </property>
</Properties>
</file>