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53"/>
        <w:ind w:left="0"/>
        <w:rPr>
          <w:rFonts w:ascii="Times New Roman"/>
        </w:rPr>
      </w:pPr>
    </w:p>
    <w:p>
      <w:pPr>
        <w:spacing w:before="0"/>
        <w:ind w:left="6458" w:right="0" w:firstLine="0"/>
        <w:jc w:val="left"/>
        <w:rPr>
          <w:b/>
          <w:sz w:val="19"/>
        </w:rPr>
      </w:pPr>
      <w:r>
        <w:rPr>
          <w:b/>
          <w:sz w:val="19"/>
        </w:rPr>
        <w:drawing>
          <wp:anchor distT="0" distB="0" distL="0" distR="0" allowOverlap="1" layoutInCell="1" locked="0" behindDoc="0" simplePos="0" relativeHeight="15729664">
            <wp:simplePos x="0" y="0"/>
            <wp:positionH relativeFrom="page">
              <wp:posOffset>377825</wp:posOffset>
            </wp:positionH>
            <wp:positionV relativeFrom="paragraph">
              <wp:posOffset>-229540</wp:posOffset>
            </wp:positionV>
            <wp:extent cx="1362074" cy="561974"/>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1362074" cy="561974"/>
                    </a:xfrm>
                    <a:prstGeom prst="rect">
                      <a:avLst/>
                    </a:prstGeom>
                  </pic:spPr>
                </pic:pic>
              </a:graphicData>
            </a:graphic>
          </wp:anchor>
        </w:drawing>
      </w:r>
      <w:r>
        <w:rPr>
          <w:b/>
          <w:color w:val="212121"/>
          <w:sz w:val="19"/>
        </w:rPr>
        <w:t>Susan</w:t>
      </w:r>
      <w:r>
        <w:rPr>
          <w:b/>
          <w:color w:val="212121"/>
          <w:spacing w:val="14"/>
          <w:sz w:val="19"/>
        </w:rPr>
        <w:t> </w:t>
      </w:r>
      <w:r>
        <w:rPr>
          <w:b/>
          <w:color w:val="212121"/>
          <w:sz w:val="19"/>
        </w:rPr>
        <w:t>Gasparo</w:t>
      </w:r>
      <w:r>
        <w:rPr>
          <w:b/>
          <w:color w:val="212121"/>
          <w:spacing w:val="14"/>
          <w:sz w:val="19"/>
        </w:rPr>
        <w:t> </w:t>
      </w:r>
      <w:hyperlink r:id="rId8">
        <w:r>
          <w:rPr>
            <w:b/>
            <w:color w:val="212121"/>
            <w:spacing w:val="-2"/>
            <w:sz w:val="19"/>
          </w:rPr>
          <w:t>&lt;susan.gasparo@stonybrook.edu&gt;</w:t>
        </w:r>
      </w:hyperlink>
    </w:p>
    <w:p>
      <w:pPr>
        <w:pStyle w:val="BodyText"/>
        <w:spacing w:before="201"/>
        <w:ind w:left="0"/>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444500</wp:posOffset>
                </wp:positionH>
                <wp:positionV relativeFrom="paragraph">
                  <wp:posOffset>288948</wp:posOffset>
                </wp:positionV>
                <wp:extent cx="6896100" cy="19050"/>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6896100" cy="19050"/>
                          <a:chExt cx="6896100" cy="19050"/>
                        </a:xfrm>
                      </wpg:grpSpPr>
                      <wps:wsp>
                        <wps:cNvPr id="6" name="Graphic 6"/>
                        <wps:cNvSpPr/>
                        <wps:spPr>
                          <a:xfrm>
                            <a:off x="0" y="0"/>
                            <a:ext cx="6896100" cy="9525"/>
                          </a:xfrm>
                          <a:custGeom>
                            <a:avLst/>
                            <a:gdLst/>
                            <a:ahLst/>
                            <a:cxnLst/>
                            <a:rect l="l" t="t" r="r" b="b"/>
                            <a:pathLst>
                              <a:path w="6896100" h="9525">
                                <a:moveTo>
                                  <a:pt x="6896099" y="9524"/>
                                </a:moveTo>
                                <a:lnTo>
                                  <a:pt x="0" y="9524"/>
                                </a:lnTo>
                                <a:lnTo>
                                  <a:pt x="0" y="0"/>
                                </a:lnTo>
                                <a:lnTo>
                                  <a:pt x="6896099" y="0"/>
                                </a:lnTo>
                                <a:lnTo>
                                  <a:pt x="6896099" y="9524"/>
                                </a:lnTo>
                                <a:close/>
                              </a:path>
                            </a:pathLst>
                          </a:custGeom>
                          <a:solidFill>
                            <a:srgbClr val="999999"/>
                          </a:solidFill>
                        </wps:spPr>
                        <wps:bodyPr wrap="square" lIns="0" tIns="0" rIns="0" bIns="0" rtlCol="0">
                          <a:prstTxWarp prst="textNoShape">
                            <a:avLst/>
                          </a:prstTxWarp>
                          <a:noAutofit/>
                        </wps:bodyPr>
                      </wps:wsp>
                      <wps:wsp>
                        <wps:cNvPr id="7" name="Graphic 7"/>
                        <wps:cNvSpPr/>
                        <wps:spPr>
                          <a:xfrm>
                            <a:off x="-12" y="0"/>
                            <a:ext cx="6896100" cy="19050"/>
                          </a:xfrm>
                          <a:custGeom>
                            <a:avLst/>
                            <a:gdLst/>
                            <a:ahLst/>
                            <a:cxnLst/>
                            <a:rect l="l" t="t" r="r" b="b"/>
                            <a:pathLst>
                              <a:path w="6896100" h="19050">
                                <a:moveTo>
                                  <a:pt x="6896100" y="0"/>
                                </a:moveTo>
                                <a:lnTo>
                                  <a:pt x="6886575" y="9525"/>
                                </a:lnTo>
                                <a:lnTo>
                                  <a:pt x="0" y="9525"/>
                                </a:lnTo>
                                <a:lnTo>
                                  <a:pt x="0" y="19050"/>
                                </a:lnTo>
                                <a:lnTo>
                                  <a:pt x="6886575" y="19050"/>
                                </a:lnTo>
                                <a:lnTo>
                                  <a:pt x="6896100" y="19050"/>
                                </a:lnTo>
                                <a:lnTo>
                                  <a:pt x="6896100" y="9525"/>
                                </a:lnTo>
                                <a:lnTo>
                                  <a:pt x="6896100" y="0"/>
                                </a:lnTo>
                                <a:close/>
                              </a:path>
                            </a:pathLst>
                          </a:custGeom>
                          <a:solidFill>
                            <a:srgbClr val="EDEDED"/>
                          </a:solidFill>
                        </wps:spPr>
                        <wps:bodyPr wrap="square" lIns="0" tIns="0" rIns="0" bIns="0" rtlCol="0">
                          <a:prstTxWarp prst="textNoShape">
                            <a:avLst/>
                          </a:prstTxWarp>
                          <a:noAutofit/>
                        </wps:bodyPr>
                      </wps:wsp>
                      <wps:wsp>
                        <wps:cNvPr id="8" name="Graphic 8"/>
                        <wps:cNvSpPr/>
                        <wps:spPr>
                          <a:xfrm>
                            <a:off x="0" y="0"/>
                            <a:ext cx="9525" cy="19050"/>
                          </a:xfrm>
                          <a:custGeom>
                            <a:avLst/>
                            <a:gdLst/>
                            <a:ahLst/>
                            <a:cxnLst/>
                            <a:rect l="l" t="t" r="r" b="b"/>
                            <a:pathLst>
                              <a:path w="9525" h="19050">
                                <a:moveTo>
                                  <a:pt x="0" y="19049"/>
                                </a:moveTo>
                                <a:lnTo>
                                  <a:pt x="0" y="0"/>
                                </a:lnTo>
                                <a:lnTo>
                                  <a:pt x="9524" y="0"/>
                                </a:lnTo>
                                <a:lnTo>
                                  <a:pt x="9524" y="9524"/>
                                </a:lnTo>
                                <a:lnTo>
                                  <a:pt x="0" y="19049"/>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35pt;margin-top:22.75185pt;width:543pt;height:1.5pt;mso-position-horizontal-relative:page;mso-position-vertical-relative:paragraph;z-index:-15728640;mso-wrap-distance-left:0;mso-wrap-distance-right:0" id="docshapegroup4" coordorigin="700,455" coordsize="10860,30">
                <v:rect style="position:absolute;left:700;top:455;width:10860;height:15" id="docshape5" filled="true" fillcolor="#999999" stroked="false">
                  <v:fill type="solid"/>
                </v:rect>
                <v:shape style="position:absolute;left:699;top:455;width:10860;height:30" id="docshape6" coordorigin="700,455" coordsize="10860,30" path="m11560,455l11545,470,700,470,700,485,11545,485,11560,485,11560,470,11560,455xe" filled="true" fillcolor="#ededed" stroked="false">
                  <v:path arrowok="t"/>
                  <v:fill type="solid"/>
                </v:shape>
                <v:shape style="position:absolute;left:700;top:455;width:15;height:30" id="docshape7" coordorigin="700,455" coordsize="15,30" path="m700,485l700,455,715,455,715,470,700,485xe" filled="true" fillcolor="#999999" stroked="false">
                  <v:path arrowok="t"/>
                  <v:fill type="solid"/>
                </v:shape>
                <w10:wrap type="topAndBottom"/>
              </v:group>
            </w:pict>
          </mc:Fallback>
        </mc:AlternateContent>
      </w:r>
    </w:p>
    <w:p>
      <w:pPr>
        <w:pStyle w:val="Heading1"/>
      </w:pPr>
      <w:r>
        <w:rPr/>
        <w:t>Fwd: Please Distribute: Federal Government Updates - Research </w:t>
      </w:r>
      <w:r>
        <w:rPr>
          <w:spacing w:val="-2"/>
        </w:rPr>
        <w:t>Security</w:t>
      </w:r>
    </w:p>
    <w:p>
      <w:pPr>
        <w:pStyle w:val="BodyText"/>
        <w:spacing w:before="20"/>
        <w:ind w:left="339"/>
      </w:pPr>
      <w:r>
        <w:rPr>
          <w:color w:val="212121"/>
        </w:rPr>
        <w:t>1</w:t>
      </w:r>
      <w:r>
        <w:rPr>
          <w:color w:val="212121"/>
          <w:spacing w:val="3"/>
        </w:rPr>
        <w:t> </w:t>
      </w:r>
      <w:r>
        <w:rPr>
          <w:color w:val="212121"/>
          <w:spacing w:val="-2"/>
        </w:rPr>
        <w:t>message</w:t>
      </w:r>
    </w:p>
    <w:p>
      <w:pPr>
        <w:pStyle w:val="BodyText"/>
        <w:spacing w:before="5"/>
        <w:ind w:left="0"/>
        <w:rPr>
          <w:sz w:val="7"/>
        </w:rPr>
      </w:pPr>
      <w:r>
        <w:rPr>
          <w:sz w:val="7"/>
        </w:rPr>
        <mc:AlternateContent>
          <mc:Choice Requires="wps">
            <w:drawing>
              <wp:anchor distT="0" distB="0" distL="0" distR="0" allowOverlap="1" layoutInCell="1" locked="0" behindDoc="1" simplePos="0" relativeHeight="487588352">
                <wp:simplePos x="0" y="0"/>
                <wp:positionH relativeFrom="page">
                  <wp:posOffset>444500</wp:posOffset>
                </wp:positionH>
                <wp:positionV relativeFrom="paragraph">
                  <wp:posOffset>69878</wp:posOffset>
                </wp:positionV>
                <wp:extent cx="6896100" cy="19050"/>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6896100" cy="19050"/>
                          <a:chExt cx="6896100" cy="19050"/>
                        </a:xfrm>
                      </wpg:grpSpPr>
                      <wps:wsp>
                        <wps:cNvPr id="10" name="Graphic 10"/>
                        <wps:cNvSpPr/>
                        <wps:spPr>
                          <a:xfrm>
                            <a:off x="0" y="0"/>
                            <a:ext cx="6896100" cy="9525"/>
                          </a:xfrm>
                          <a:custGeom>
                            <a:avLst/>
                            <a:gdLst/>
                            <a:ahLst/>
                            <a:cxnLst/>
                            <a:rect l="l" t="t" r="r" b="b"/>
                            <a:pathLst>
                              <a:path w="6896100" h="9525">
                                <a:moveTo>
                                  <a:pt x="6896099" y="9524"/>
                                </a:moveTo>
                                <a:lnTo>
                                  <a:pt x="0" y="9524"/>
                                </a:lnTo>
                                <a:lnTo>
                                  <a:pt x="0" y="0"/>
                                </a:lnTo>
                                <a:lnTo>
                                  <a:pt x="6896099" y="0"/>
                                </a:lnTo>
                                <a:lnTo>
                                  <a:pt x="6896099" y="9524"/>
                                </a:lnTo>
                                <a:close/>
                              </a:path>
                            </a:pathLst>
                          </a:custGeom>
                          <a:solidFill>
                            <a:srgbClr val="999999"/>
                          </a:solidFill>
                        </wps:spPr>
                        <wps:bodyPr wrap="square" lIns="0" tIns="0" rIns="0" bIns="0" rtlCol="0">
                          <a:prstTxWarp prst="textNoShape">
                            <a:avLst/>
                          </a:prstTxWarp>
                          <a:noAutofit/>
                        </wps:bodyPr>
                      </wps:wsp>
                      <wps:wsp>
                        <wps:cNvPr id="11" name="Graphic 11"/>
                        <wps:cNvSpPr/>
                        <wps:spPr>
                          <a:xfrm>
                            <a:off x="-12" y="0"/>
                            <a:ext cx="6896100" cy="19050"/>
                          </a:xfrm>
                          <a:custGeom>
                            <a:avLst/>
                            <a:gdLst/>
                            <a:ahLst/>
                            <a:cxnLst/>
                            <a:rect l="l" t="t" r="r" b="b"/>
                            <a:pathLst>
                              <a:path w="6896100" h="19050">
                                <a:moveTo>
                                  <a:pt x="6896100" y="0"/>
                                </a:moveTo>
                                <a:lnTo>
                                  <a:pt x="6886575" y="9525"/>
                                </a:lnTo>
                                <a:lnTo>
                                  <a:pt x="0" y="9525"/>
                                </a:lnTo>
                                <a:lnTo>
                                  <a:pt x="0" y="19050"/>
                                </a:lnTo>
                                <a:lnTo>
                                  <a:pt x="6886575" y="19050"/>
                                </a:lnTo>
                                <a:lnTo>
                                  <a:pt x="6896100" y="19050"/>
                                </a:lnTo>
                                <a:lnTo>
                                  <a:pt x="6896100" y="9525"/>
                                </a:lnTo>
                                <a:lnTo>
                                  <a:pt x="6896100" y="0"/>
                                </a:lnTo>
                                <a:close/>
                              </a:path>
                            </a:pathLst>
                          </a:custGeom>
                          <a:solidFill>
                            <a:srgbClr val="EDEDED"/>
                          </a:solidFill>
                        </wps:spPr>
                        <wps:bodyPr wrap="square" lIns="0" tIns="0" rIns="0" bIns="0" rtlCol="0">
                          <a:prstTxWarp prst="textNoShape">
                            <a:avLst/>
                          </a:prstTxWarp>
                          <a:noAutofit/>
                        </wps:bodyPr>
                      </wps:wsp>
                      <wps:wsp>
                        <wps:cNvPr id="12" name="Graphic 12"/>
                        <wps:cNvSpPr/>
                        <wps:spPr>
                          <a:xfrm>
                            <a:off x="0" y="0"/>
                            <a:ext cx="9525" cy="19050"/>
                          </a:xfrm>
                          <a:custGeom>
                            <a:avLst/>
                            <a:gdLst/>
                            <a:ahLst/>
                            <a:cxnLst/>
                            <a:rect l="l" t="t" r="r" b="b"/>
                            <a:pathLst>
                              <a:path w="9525" h="19050">
                                <a:moveTo>
                                  <a:pt x="0" y="19049"/>
                                </a:moveTo>
                                <a:lnTo>
                                  <a:pt x="0" y="0"/>
                                </a:lnTo>
                                <a:lnTo>
                                  <a:pt x="9524" y="0"/>
                                </a:lnTo>
                                <a:lnTo>
                                  <a:pt x="9524" y="9524"/>
                                </a:lnTo>
                                <a:lnTo>
                                  <a:pt x="0" y="19049"/>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35pt;margin-top:5.502243pt;width:543pt;height:1.5pt;mso-position-horizontal-relative:page;mso-position-vertical-relative:paragraph;z-index:-15728128;mso-wrap-distance-left:0;mso-wrap-distance-right:0" id="docshapegroup8" coordorigin="700,110" coordsize="10860,30">
                <v:rect style="position:absolute;left:700;top:110;width:10860;height:15" id="docshape9" filled="true" fillcolor="#999999" stroked="false">
                  <v:fill type="solid"/>
                </v:rect>
                <v:shape style="position:absolute;left:699;top:110;width:10860;height:30" id="docshape10" coordorigin="700,110" coordsize="10860,30" path="m11560,110l11545,125,700,125,700,140,11545,140,11560,140,11560,125,11560,110xe" filled="true" fillcolor="#ededed" stroked="false">
                  <v:path arrowok="t"/>
                  <v:fill type="solid"/>
                </v:shape>
                <v:shape style="position:absolute;left:700;top:110;width:15;height:30" id="docshape11" coordorigin="700,110" coordsize="15,30" path="m700,140l700,110,715,110,715,125,700,140xe" filled="true" fillcolor="#999999" stroked="false">
                  <v:path arrowok="t"/>
                  <v:fill type="solid"/>
                </v:shape>
                <w10:wrap type="topAndBottom"/>
              </v:group>
            </w:pict>
          </mc:Fallback>
        </mc:AlternateContent>
      </w:r>
    </w:p>
    <w:p>
      <w:pPr>
        <w:pStyle w:val="BodyText"/>
        <w:tabs>
          <w:tab w:pos="8666" w:val="left" w:leader="none"/>
        </w:tabs>
        <w:spacing w:line="247" w:lineRule="auto" w:before="91"/>
        <w:ind w:left="339" w:right="327"/>
      </w:pPr>
      <w:r>
        <w:rPr>
          <w:b/>
        </w:rPr>
        <w:t>Susan Gasparo </w:t>
      </w:r>
      <w:hyperlink r:id="rId8">
        <w:r>
          <w:rPr/>
          <w:t>&lt;susan.gasparo@stonybrook.edu&gt;</w:t>
        </w:r>
      </w:hyperlink>
      <w:r>
        <w:rPr/>
        <w:tab/>
        <w:t>Wed,</w:t>
      </w:r>
      <w:r>
        <w:rPr>
          <w:spacing w:val="-8"/>
        </w:rPr>
        <w:t> </w:t>
      </w:r>
      <w:r>
        <w:rPr/>
        <w:t>Aug 9, 2023 at 8:21</w:t>
      </w:r>
      <w:r>
        <w:rPr>
          <w:spacing w:val="-8"/>
        </w:rPr>
        <w:t> </w:t>
      </w:r>
      <w:r>
        <w:rPr/>
        <w:t>AM To: Susan Gasparo </w:t>
      </w:r>
      <w:hyperlink r:id="rId8">
        <w:r>
          <w:rPr/>
          <w:t>&lt;susan.gasparo@stonybrook.edu&gt;</w:t>
        </w:r>
      </w:hyperlink>
    </w:p>
    <w:p>
      <w:pPr>
        <w:pStyle w:val="BodyText"/>
        <w:spacing w:before="22"/>
        <w:ind w:left="0"/>
      </w:pPr>
    </w:p>
    <w:p>
      <w:pPr>
        <w:pStyle w:val="BodyText"/>
        <w:spacing w:line="247" w:lineRule="auto"/>
        <w:ind w:right="5611"/>
      </w:pPr>
      <w:r>
        <w:rPr/>
        <w:t>From: </w:t>
      </w:r>
      <w:r>
        <w:rPr>
          <w:b/>
        </w:rPr>
        <w:t>Susan Gasparo </w:t>
      </w:r>
      <w:r>
        <w:rPr/>
        <w:t>&lt;</w:t>
      </w:r>
      <w:hyperlink r:id="rId8">
        <w:r>
          <w:rPr>
            <w:color w:val="1154CC"/>
          </w:rPr>
          <w:t>susan.gasparo@stonybrook.edu</w:t>
        </w:r>
      </w:hyperlink>
      <w:r>
        <w:rPr/>
        <w:t>&gt; Date: Wed, Aug 2, 2023 at 7:33 AM</w:t>
      </w:r>
    </w:p>
    <w:p>
      <w:pPr>
        <w:pStyle w:val="BodyText"/>
      </w:pPr>
      <w:r>
        <w:rPr/>
        <w:t>Subject:</w:t>
      </w:r>
      <w:r>
        <w:rPr>
          <w:spacing w:val="14"/>
        </w:rPr>
        <w:t> </w:t>
      </w:r>
      <w:r>
        <w:rPr/>
        <w:t>Please</w:t>
      </w:r>
      <w:r>
        <w:rPr>
          <w:spacing w:val="14"/>
        </w:rPr>
        <w:t> </w:t>
      </w:r>
      <w:r>
        <w:rPr/>
        <w:t>Distribute:</w:t>
      </w:r>
      <w:r>
        <w:rPr>
          <w:spacing w:val="15"/>
        </w:rPr>
        <w:t> </w:t>
      </w:r>
      <w:r>
        <w:rPr/>
        <w:t>Federal</w:t>
      </w:r>
      <w:r>
        <w:rPr>
          <w:spacing w:val="14"/>
        </w:rPr>
        <w:t> </w:t>
      </w:r>
      <w:r>
        <w:rPr/>
        <w:t>Government</w:t>
      </w:r>
      <w:r>
        <w:rPr>
          <w:spacing w:val="15"/>
        </w:rPr>
        <w:t> </w:t>
      </w:r>
      <w:r>
        <w:rPr/>
        <w:t>Updates</w:t>
      </w:r>
      <w:r>
        <w:rPr>
          <w:spacing w:val="14"/>
        </w:rPr>
        <w:t> </w:t>
      </w:r>
      <w:r>
        <w:rPr/>
        <w:t>-</w:t>
      </w:r>
      <w:r>
        <w:rPr>
          <w:spacing w:val="15"/>
        </w:rPr>
        <w:t> </w:t>
      </w:r>
      <w:r>
        <w:rPr/>
        <w:t>Research</w:t>
      </w:r>
      <w:r>
        <w:rPr>
          <w:spacing w:val="14"/>
        </w:rPr>
        <w:t> </w:t>
      </w:r>
      <w:r>
        <w:rPr>
          <w:spacing w:val="-2"/>
        </w:rPr>
        <w:t>Security</w:t>
      </w:r>
    </w:p>
    <w:p>
      <w:pPr>
        <w:pStyle w:val="BodyText"/>
        <w:spacing w:before="13"/>
        <w:ind w:left="0"/>
      </w:pPr>
    </w:p>
    <w:p>
      <w:pPr>
        <w:pStyle w:val="BodyText"/>
        <w:spacing w:line="247" w:lineRule="auto"/>
        <w:ind w:right="730"/>
      </w:pPr>
      <w:r>
        <w:rPr/>
        <w:t>The</w:t>
      </w:r>
      <w:r>
        <w:rPr>
          <w:spacing w:val="19"/>
        </w:rPr>
        <w:t> </w:t>
      </w:r>
      <w:r>
        <w:rPr/>
        <w:t>landscape</w:t>
      </w:r>
      <w:r>
        <w:rPr>
          <w:spacing w:val="19"/>
        </w:rPr>
        <w:t> </w:t>
      </w:r>
      <w:r>
        <w:rPr/>
        <w:t>of</w:t>
      </w:r>
      <w:r>
        <w:rPr>
          <w:spacing w:val="19"/>
        </w:rPr>
        <w:t> </w:t>
      </w:r>
      <w:hyperlink r:id="rId9">
        <w:r>
          <w:rPr>
            <w:color w:val="541A8B"/>
          </w:rPr>
          <w:t>research</w:t>
        </w:r>
        <w:r>
          <w:rPr>
            <w:color w:val="541A8B"/>
            <w:spacing w:val="19"/>
          </w:rPr>
          <w:t> </w:t>
        </w:r>
        <w:r>
          <w:rPr>
            <w:color w:val="541A8B"/>
          </w:rPr>
          <w:t>security</w:t>
        </w:r>
      </w:hyperlink>
      <w:r>
        <w:rPr>
          <w:color w:val="541A8B"/>
          <w:spacing w:val="19"/>
        </w:rPr>
        <w:t> </w:t>
      </w:r>
      <w:r>
        <w:rPr/>
        <w:t>has</w:t>
      </w:r>
      <w:r>
        <w:rPr>
          <w:spacing w:val="19"/>
        </w:rPr>
        <w:t> </w:t>
      </w:r>
      <w:r>
        <w:rPr/>
        <w:t>been</w:t>
      </w:r>
      <w:r>
        <w:rPr>
          <w:spacing w:val="19"/>
        </w:rPr>
        <w:t> </w:t>
      </w:r>
      <w:r>
        <w:rPr/>
        <w:t>evolving</w:t>
      </w:r>
      <w:r>
        <w:rPr>
          <w:spacing w:val="19"/>
        </w:rPr>
        <w:t> </w:t>
      </w:r>
      <w:r>
        <w:rPr/>
        <w:t>over</w:t>
      </w:r>
      <w:r>
        <w:rPr>
          <w:spacing w:val="19"/>
        </w:rPr>
        <w:t> </w:t>
      </w:r>
      <w:r>
        <w:rPr/>
        <w:t>the</w:t>
      </w:r>
      <w:r>
        <w:rPr>
          <w:spacing w:val="19"/>
        </w:rPr>
        <w:t> </w:t>
      </w:r>
      <w:r>
        <w:rPr/>
        <w:t>past</w:t>
      </w:r>
      <w:r>
        <w:rPr>
          <w:spacing w:val="19"/>
        </w:rPr>
        <w:t> </w:t>
      </w:r>
      <w:r>
        <w:rPr/>
        <w:t>few</w:t>
      </w:r>
      <w:r>
        <w:rPr>
          <w:spacing w:val="19"/>
        </w:rPr>
        <w:t> </w:t>
      </w:r>
      <w:r>
        <w:rPr/>
        <w:t>years.</w:t>
      </w:r>
      <w:r>
        <w:rPr>
          <w:spacing w:val="80"/>
        </w:rPr>
        <w:t> </w:t>
      </w:r>
      <w:r>
        <w:rPr/>
        <w:t>We</w:t>
      </w:r>
      <w:r>
        <w:rPr>
          <w:spacing w:val="19"/>
        </w:rPr>
        <w:t> </w:t>
      </w:r>
      <w:r>
        <w:rPr/>
        <w:t>have</w:t>
      </w:r>
      <w:r>
        <w:rPr>
          <w:spacing w:val="19"/>
        </w:rPr>
        <w:t> </w:t>
      </w:r>
      <w:r>
        <w:rPr/>
        <w:t>seen</w:t>
      </w:r>
      <w:r>
        <w:rPr>
          <w:spacing w:val="19"/>
        </w:rPr>
        <w:t> </w:t>
      </w:r>
      <w:r>
        <w:rPr/>
        <w:t>a</w:t>
      </w:r>
      <w:r>
        <w:rPr>
          <w:spacing w:val="19"/>
        </w:rPr>
        <w:t> </w:t>
      </w:r>
      <w:r>
        <w:rPr/>
        <w:t>rise</w:t>
      </w:r>
      <w:r>
        <w:rPr>
          <w:spacing w:val="19"/>
        </w:rPr>
        <w:t> </w:t>
      </w:r>
      <w:r>
        <w:rPr/>
        <w:t>in</w:t>
      </w:r>
      <w:r>
        <w:rPr>
          <w:spacing w:val="19"/>
        </w:rPr>
        <w:t> </w:t>
      </w:r>
      <w:r>
        <w:rPr/>
        <w:t>federal government</w:t>
      </w:r>
      <w:r>
        <w:rPr>
          <w:spacing w:val="34"/>
        </w:rPr>
        <w:t> </w:t>
      </w:r>
      <w:r>
        <w:rPr/>
        <w:t>involvement</w:t>
      </w:r>
      <w:r>
        <w:rPr>
          <w:spacing w:val="34"/>
        </w:rPr>
        <w:t> </w:t>
      </w:r>
      <w:r>
        <w:rPr/>
        <w:t>from</w:t>
      </w:r>
      <w:r>
        <w:rPr>
          <w:spacing w:val="34"/>
        </w:rPr>
        <w:t> </w:t>
      </w:r>
      <w:r>
        <w:rPr/>
        <w:t>using</w:t>
      </w:r>
      <w:r>
        <w:rPr>
          <w:spacing w:val="34"/>
        </w:rPr>
        <w:t> </w:t>
      </w:r>
      <w:r>
        <w:rPr/>
        <w:t>export</w:t>
      </w:r>
      <w:r>
        <w:rPr>
          <w:spacing w:val="34"/>
        </w:rPr>
        <w:t> </w:t>
      </w:r>
      <w:r>
        <w:rPr/>
        <w:t>control</w:t>
      </w:r>
      <w:r>
        <w:rPr>
          <w:spacing w:val="34"/>
        </w:rPr>
        <w:t> </w:t>
      </w:r>
      <w:r>
        <w:rPr/>
        <w:t>regulations,</w:t>
      </w:r>
      <w:r>
        <w:rPr>
          <w:spacing w:val="34"/>
        </w:rPr>
        <w:t> </w:t>
      </w:r>
      <w:r>
        <w:rPr/>
        <w:t>restricted</w:t>
      </w:r>
      <w:r>
        <w:rPr>
          <w:spacing w:val="34"/>
        </w:rPr>
        <w:t> </w:t>
      </w:r>
      <w:r>
        <w:rPr/>
        <w:t>party</w:t>
      </w:r>
      <w:r>
        <w:rPr>
          <w:spacing w:val="34"/>
        </w:rPr>
        <w:t> </w:t>
      </w:r>
      <w:r>
        <w:rPr/>
        <w:t>lists,</w:t>
      </w:r>
      <w:r>
        <w:rPr>
          <w:spacing w:val="34"/>
        </w:rPr>
        <w:t> </w:t>
      </w:r>
      <w:r>
        <w:rPr/>
        <w:t>embargoes/sanctions</w:t>
      </w:r>
      <w:r>
        <w:rPr>
          <w:spacing w:val="34"/>
        </w:rPr>
        <w:t> </w:t>
      </w:r>
      <w:r>
        <w:rPr/>
        <w:t>and</w:t>
      </w:r>
      <w:r>
        <w:rPr>
          <w:spacing w:val="34"/>
        </w:rPr>
        <w:t> </w:t>
      </w:r>
      <w:r>
        <w:rPr/>
        <w:t>other policies and lists to protect U.S. national security and U.S. competitive advantage.</w:t>
      </w:r>
      <w:r>
        <w:rPr>
          <w:spacing w:val="80"/>
          <w:w w:val="150"/>
        </w:rPr>
        <w:t> </w:t>
      </w:r>
      <w:r>
        <w:rPr/>
        <w:t>I'd like to bring to your attention a few</w:t>
      </w:r>
      <w:r>
        <w:rPr>
          <w:spacing w:val="80"/>
        </w:rPr>
        <w:t> </w:t>
      </w:r>
      <w:r>
        <w:rPr/>
        <w:t>recent actions that affect the university community.</w:t>
      </w:r>
    </w:p>
    <w:p>
      <w:pPr>
        <w:pStyle w:val="BodyText"/>
        <w:spacing w:before="6"/>
        <w:ind w:left="0"/>
      </w:pPr>
    </w:p>
    <w:p>
      <w:pPr>
        <w:pStyle w:val="BodyText"/>
        <w:spacing w:line="247" w:lineRule="auto"/>
        <w:ind w:right="730"/>
      </w:pPr>
      <w:r>
        <w:rPr>
          <w:b/>
          <w:color w:val="0000FF"/>
        </w:rPr>
        <w:t>ByteDance Applications:</w:t>
      </w:r>
      <w:r>
        <w:rPr>
          <w:b/>
          <w:color w:val="0000FF"/>
          <w:spacing w:val="80"/>
        </w:rPr>
        <w:t> </w:t>
      </w:r>
      <w:r>
        <w:rPr/>
        <w:t>New contracting clause that can be applied to federal awards (in particular to contracts/subcontracts) but may soon be applied to grants.</w:t>
      </w:r>
      <w:r>
        <w:rPr>
          <w:spacing w:val="76"/>
        </w:rPr>
        <w:t> </w:t>
      </w:r>
      <w:r>
        <w:rPr/>
        <w:t>Restricts the use of ByteDance</w:t>
      </w:r>
      <w:r>
        <w:rPr>
          <w:spacing w:val="76"/>
        </w:rPr>
        <w:t> </w:t>
      </w:r>
      <w:r>
        <w:rPr/>
        <w:t>applications (e.g.,TikTok, Capcut, Lemon8) on information technology that is used to any extent on a government award (including personal</w:t>
      </w:r>
      <w:r>
        <w:rPr>
          <w:spacing w:val="40"/>
        </w:rPr>
        <w:t> </w:t>
      </w:r>
      <w:r>
        <w:rPr>
          <w:spacing w:val="-2"/>
        </w:rPr>
        <w:t>devices).</w:t>
      </w:r>
    </w:p>
    <w:p>
      <w:pPr>
        <w:pStyle w:val="BodyText"/>
        <w:spacing w:before="6"/>
        <w:ind w:left="0"/>
      </w:pPr>
    </w:p>
    <w:p>
      <w:pPr>
        <w:pStyle w:val="BodyText"/>
        <w:spacing w:line="247" w:lineRule="auto" w:before="1"/>
        <w:ind w:right="730"/>
      </w:pPr>
      <w:r>
        <w:rPr>
          <w:b/>
          <w:color w:val="0000FF"/>
        </w:rPr>
        <w:t>Reminder:</w:t>
      </w:r>
      <w:r>
        <w:rPr>
          <w:b/>
          <w:color w:val="0000FF"/>
          <w:spacing w:val="35"/>
        </w:rPr>
        <w:t> </w:t>
      </w:r>
      <w:r>
        <w:rPr>
          <w:b/>
          <w:color w:val="0000FF"/>
        </w:rPr>
        <w:t>Telecommunications</w:t>
      </w:r>
      <w:r>
        <w:rPr>
          <w:b/>
          <w:color w:val="0000FF"/>
          <w:spacing w:val="35"/>
        </w:rPr>
        <w:t> </w:t>
      </w:r>
      <w:r>
        <w:rPr>
          <w:b/>
          <w:color w:val="0000FF"/>
        </w:rPr>
        <w:t>and</w:t>
      </w:r>
      <w:r>
        <w:rPr>
          <w:b/>
          <w:color w:val="0000FF"/>
          <w:spacing w:val="35"/>
        </w:rPr>
        <w:t> </w:t>
      </w:r>
      <w:r>
        <w:rPr>
          <w:b/>
          <w:color w:val="0000FF"/>
        </w:rPr>
        <w:t>Surveillance</w:t>
      </w:r>
      <w:r>
        <w:rPr>
          <w:b/>
          <w:color w:val="0000FF"/>
          <w:spacing w:val="35"/>
        </w:rPr>
        <w:t> </w:t>
      </w:r>
      <w:r>
        <w:rPr>
          <w:b/>
          <w:color w:val="0000FF"/>
        </w:rPr>
        <w:t>Equipment:</w:t>
      </w:r>
      <w:r>
        <w:rPr>
          <w:b/>
          <w:color w:val="0000FF"/>
          <w:spacing w:val="35"/>
        </w:rPr>
        <w:t> </w:t>
      </w:r>
      <w:r>
        <w:rPr/>
        <w:t>Contracting</w:t>
      </w:r>
      <w:r>
        <w:rPr>
          <w:spacing w:val="35"/>
        </w:rPr>
        <w:t> </w:t>
      </w:r>
      <w:r>
        <w:rPr/>
        <w:t>clause</w:t>
      </w:r>
      <w:r>
        <w:rPr>
          <w:spacing w:val="35"/>
        </w:rPr>
        <w:t> </w:t>
      </w:r>
      <w:r>
        <w:rPr/>
        <w:t>that</w:t>
      </w:r>
      <w:r>
        <w:rPr>
          <w:spacing w:val="35"/>
        </w:rPr>
        <w:t> </w:t>
      </w:r>
      <w:r>
        <w:rPr/>
        <w:t>prohibits</w:t>
      </w:r>
      <w:r>
        <w:rPr>
          <w:spacing w:val="35"/>
        </w:rPr>
        <w:t> </w:t>
      </w:r>
      <w:r>
        <w:rPr/>
        <w:t>all</w:t>
      </w:r>
      <w:r>
        <w:rPr>
          <w:spacing w:val="35"/>
        </w:rPr>
        <w:t> </w:t>
      </w:r>
      <w:r>
        <w:rPr/>
        <w:t>purchase</w:t>
      </w:r>
      <w:r>
        <w:rPr>
          <w:spacing w:val="35"/>
        </w:rPr>
        <w:t> </w:t>
      </w:r>
      <w:r>
        <w:rPr/>
        <w:t>of services, hardware, and software from the Kapersky Lab, or any of the following and their subsidiaries - ZTE Corporation,</w:t>
      </w:r>
      <w:r>
        <w:rPr>
          <w:spacing w:val="80"/>
        </w:rPr>
        <w:t> </w:t>
      </w:r>
      <w:r>
        <w:rPr/>
        <w:t>Zhejiang</w:t>
      </w:r>
      <w:r>
        <w:rPr>
          <w:spacing w:val="26"/>
        </w:rPr>
        <w:t> </w:t>
      </w:r>
      <w:r>
        <w:rPr/>
        <w:t>Dahua Technology,</w:t>
      </w:r>
      <w:r>
        <w:rPr>
          <w:spacing w:val="26"/>
        </w:rPr>
        <w:t> </w:t>
      </w:r>
      <w:r>
        <w:rPr/>
        <w:t>Co.,</w:t>
      </w:r>
      <w:r>
        <w:rPr>
          <w:spacing w:val="26"/>
        </w:rPr>
        <w:t> </w:t>
      </w:r>
      <w:r>
        <w:rPr/>
        <w:t>Huawei</w:t>
      </w:r>
      <w:r>
        <w:rPr>
          <w:spacing w:val="26"/>
        </w:rPr>
        <w:t> </w:t>
      </w:r>
      <w:r>
        <w:rPr/>
        <w:t>Investment</w:t>
      </w:r>
      <w:r>
        <w:rPr>
          <w:spacing w:val="26"/>
        </w:rPr>
        <w:t> </w:t>
      </w:r>
      <w:r>
        <w:rPr/>
        <w:t>and</w:t>
      </w:r>
      <w:r>
        <w:rPr>
          <w:spacing w:val="26"/>
        </w:rPr>
        <w:t> </w:t>
      </w:r>
      <w:r>
        <w:rPr/>
        <w:t>Holding</w:t>
      </w:r>
      <w:r>
        <w:rPr>
          <w:spacing w:val="26"/>
        </w:rPr>
        <w:t> </w:t>
      </w:r>
      <w:r>
        <w:rPr/>
        <w:t>Co.,</w:t>
      </w:r>
      <w:r>
        <w:rPr>
          <w:spacing w:val="26"/>
        </w:rPr>
        <w:t> </w:t>
      </w:r>
      <w:r>
        <w:rPr/>
        <w:t>Hangzhou</w:t>
      </w:r>
      <w:r>
        <w:rPr>
          <w:spacing w:val="26"/>
        </w:rPr>
        <w:t> </w:t>
      </w:r>
      <w:r>
        <w:rPr/>
        <w:t>Hikvision</w:t>
      </w:r>
      <w:r>
        <w:rPr>
          <w:spacing w:val="26"/>
        </w:rPr>
        <w:t> </w:t>
      </w:r>
      <w:r>
        <w:rPr/>
        <w:t>Digital Technology,</w:t>
      </w:r>
      <w:r>
        <w:rPr>
          <w:spacing w:val="26"/>
        </w:rPr>
        <w:t> </w:t>
      </w:r>
      <w:r>
        <w:rPr/>
        <w:t>Co., Hytera Communications Corporation.</w:t>
      </w:r>
      <w:r>
        <w:rPr>
          <w:spacing w:val="79"/>
        </w:rPr>
        <w:t> </w:t>
      </w:r>
      <w:r>
        <w:rPr/>
        <w:t>Products are banned from use on campus or use in federal awards - if anyone has</w:t>
      </w:r>
      <w:r>
        <w:rPr>
          <w:spacing w:val="40"/>
        </w:rPr>
        <w:t> </w:t>
      </w:r>
      <w:r>
        <w:rPr/>
        <w:t>these products, they should contact me for further review and discussion.</w:t>
      </w:r>
    </w:p>
    <w:p>
      <w:pPr>
        <w:pStyle w:val="BodyText"/>
        <w:spacing w:before="6"/>
        <w:ind w:left="0"/>
      </w:pPr>
    </w:p>
    <w:p>
      <w:pPr>
        <w:spacing w:line="247" w:lineRule="auto" w:before="0"/>
        <w:ind w:left="519" w:right="327" w:firstLine="0"/>
        <w:jc w:val="left"/>
        <w:rPr>
          <w:sz w:val="19"/>
        </w:rPr>
      </w:pPr>
      <w:r>
        <w:rPr>
          <w:b/>
          <w:color w:val="0000FF"/>
          <w:sz w:val="19"/>
        </w:rPr>
        <w:t>Foreign Talent Recruitment Program and Malign Foreign Talent Recruitment Program.</w:t>
      </w:r>
      <w:r>
        <w:rPr>
          <w:b/>
          <w:color w:val="0000FF"/>
          <w:spacing w:val="80"/>
          <w:sz w:val="19"/>
        </w:rPr>
        <w:t> </w:t>
      </w:r>
      <w:r>
        <w:rPr>
          <w:sz w:val="19"/>
        </w:rPr>
        <w:t>The federal government </w:t>
      </w:r>
      <w:r>
        <w:rPr>
          <w:sz w:val="19"/>
        </w:rPr>
        <w:t>and federal sponsor agencies have increased their scrutiny over foreign activities.</w:t>
      </w:r>
      <w:r>
        <w:rPr>
          <w:spacing w:val="80"/>
          <w:sz w:val="19"/>
        </w:rPr>
        <w:t> </w:t>
      </w:r>
      <w:r>
        <w:rPr>
          <w:sz w:val="19"/>
        </w:rPr>
        <w:t>This includes reporting of foreign talent</w:t>
      </w:r>
      <w:r>
        <w:rPr>
          <w:spacing w:val="40"/>
          <w:sz w:val="19"/>
        </w:rPr>
        <w:t> </w:t>
      </w:r>
      <w:r>
        <w:rPr>
          <w:sz w:val="19"/>
        </w:rPr>
        <w:t>programs</w:t>
      </w:r>
      <w:r>
        <w:rPr>
          <w:spacing w:val="22"/>
          <w:sz w:val="19"/>
        </w:rPr>
        <w:t> </w:t>
      </w:r>
      <w:r>
        <w:rPr>
          <w:sz w:val="19"/>
        </w:rPr>
        <w:t>in</w:t>
      </w:r>
      <w:r>
        <w:rPr>
          <w:spacing w:val="22"/>
          <w:sz w:val="19"/>
        </w:rPr>
        <w:t> </w:t>
      </w:r>
      <w:r>
        <w:rPr>
          <w:sz w:val="19"/>
        </w:rPr>
        <w:t>bio-sketches</w:t>
      </w:r>
      <w:r>
        <w:rPr>
          <w:spacing w:val="22"/>
          <w:sz w:val="19"/>
        </w:rPr>
        <w:t> </w:t>
      </w:r>
      <w:r>
        <w:rPr>
          <w:sz w:val="19"/>
        </w:rPr>
        <w:t>and</w:t>
      </w:r>
      <w:r>
        <w:rPr>
          <w:spacing w:val="22"/>
          <w:sz w:val="19"/>
        </w:rPr>
        <w:t> </w:t>
      </w:r>
      <w:r>
        <w:rPr>
          <w:sz w:val="19"/>
        </w:rPr>
        <w:t>other</w:t>
      </w:r>
      <w:r>
        <w:rPr>
          <w:spacing w:val="22"/>
          <w:sz w:val="19"/>
        </w:rPr>
        <w:t> </w:t>
      </w:r>
      <w:r>
        <w:rPr>
          <w:sz w:val="19"/>
        </w:rPr>
        <w:t>support,</w:t>
      </w:r>
      <w:r>
        <w:rPr>
          <w:spacing w:val="22"/>
          <w:sz w:val="19"/>
        </w:rPr>
        <w:t> </w:t>
      </w:r>
      <w:r>
        <w:rPr>
          <w:sz w:val="19"/>
        </w:rPr>
        <w:t>risk</w:t>
      </w:r>
      <w:r>
        <w:rPr>
          <w:spacing w:val="22"/>
          <w:sz w:val="19"/>
        </w:rPr>
        <w:t> </w:t>
      </w:r>
      <w:r>
        <w:rPr>
          <w:sz w:val="19"/>
        </w:rPr>
        <w:t>reviews</w:t>
      </w:r>
      <w:r>
        <w:rPr>
          <w:spacing w:val="22"/>
          <w:sz w:val="19"/>
        </w:rPr>
        <w:t> </w:t>
      </w:r>
      <w:r>
        <w:rPr>
          <w:sz w:val="19"/>
        </w:rPr>
        <w:t>prior</w:t>
      </w:r>
      <w:r>
        <w:rPr>
          <w:spacing w:val="22"/>
          <w:sz w:val="19"/>
        </w:rPr>
        <w:t> </w:t>
      </w:r>
      <w:r>
        <w:rPr>
          <w:sz w:val="19"/>
        </w:rPr>
        <w:t>to</w:t>
      </w:r>
      <w:r>
        <w:rPr>
          <w:spacing w:val="22"/>
          <w:sz w:val="19"/>
        </w:rPr>
        <w:t> </w:t>
      </w:r>
      <w:r>
        <w:rPr>
          <w:sz w:val="19"/>
        </w:rPr>
        <w:t>awards,</w:t>
      </w:r>
      <w:r>
        <w:rPr>
          <w:spacing w:val="22"/>
          <w:sz w:val="19"/>
        </w:rPr>
        <w:t> </w:t>
      </w:r>
      <w:r>
        <w:rPr>
          <w:sz w:val="19"/>
        </w:rPr>
        <w:t>and</w:t>
      </w:r>
      <w:r>
        <w:rPr>
          <w:spacing w:val="22"/>
          <w:sz w:val="19"/>
        </w:rPr>
        <w:t> </w:t>
      </w:r>
      <w:r>
        <w:rPr>
          <w:sz w:val="19"/>
        </w:rPr>
        <w:t>the</w:t>
      </w:r>
      <w:r>
        <w:rPr>
          <w:spacing w:val="22"/>
          <w:sz w:val="19"/>
        </w:rPr>
        <w:t> </w:t>
      </w:r>
      <w:r>
        <w:rPr>
          <w:sz w:val="19"/>
        </w:rPr>
        <w:t>possibility</w:t>
      </w:r>
      <w:r>
        <w:rPr>
          <w:spacing w:val="22"/>
          <w:sz w:val="19"/>
        </w:rPr>
        <w:t> </w:t>
      </w:r>
      <w:r>
        <w:rPr>
          <w:sz w:val="19"/>
        </w:rPr>
        <w:t>of</w:t>
      </w:r>
      <w:r>
        <w:rPr>
          <w:spacing w:val="22"/>
          <w:sz w:val="19"/>
        </w:rPr>
        <w:t> </w:t>
      </w:r>
      <w:r>
        <w:rPr>
          <w:sz w:val="19"/>
        </w:rPr>
        <w:t>the</w:t>
      </w:r>
      <w:r>
        <w:rPr>
          <w:spacing w:val="22"/>
          <w:sz w:val="19"/>
        </w:rPr>
        <w:t> </w:t>
      </w:r>
      <w:r>
        <w:rPr>
          <w:sz w:val="19"/>
        </w:rPr>
        <w:t>loss</w:t>
      </w:r>
      <w:r>
        <w:rPr>
          <w:spacing w:val="22"/>
          <w:sz w:val="19"/>
        </w:rPr>
        <w:t> </w:t>
      </w:r>
      <w:r>
        <w:rPr>
          <w:sz w:val="19"/>
        </w:rPr>
        <w:t>of</w:t>
      </w:r>
      <w:r>
        <w:rPr>
          <w:spacing w:val="22"/>
          <w:sz w:val="19"/>
        </w:rPr>
        <w:t> </w:t>
      </w:r>
      <w:r>
        <w:rPr>
          <w:sz w:val="19"/>
        </w:rPr>
        <w:t>funding.</w:t>
      </w:r>
    </w:p>
    <w:p>
      <w:pPr>
        <w:pStyle w:val="BodyText"/>
        <w:spacing w:line="247" w:lineRule="auto"/>
        <w:ind w:right="730" w:firstLine="54"/>
      </w:pPr>
      <w:r>
        <w:rPr/>
        <w:t>Recently, the federal government has released definitions of a foreign talent recruitment program and a malign foreign</w:t>
      </w:r>
      <w:r>
        <w:rPr>
          <w:spacing w:val="40"/>
        </w:rPr>
        <w:t> </w:t>
      </w:r>
      <w:r>
        <w:rPr/>
        <w:t>talent recruitment program (see definitions below).</w:t>
      </w:r>
    </w:p>
    <w:p>
      <w:pPr>
        <w:pStyle w:val="BodyText"/>
        <w:spacing w:before="6"/>
        <w:ind w:left="0"/>
      </w:pPr>
    </w:p>
    <w:p>
      <w:pPr>
        <w:pStyle w:val="Heading2"/>
      </w:pPr>
      <w:r>
        <w:rPr>
          <w:color w:val="0000FF"/>
        </w:rPr>
        <w:t>Reminder:</w:t>
      </w:r>
      <w:r>
        <w:rPr>
          <w:color w:val="0000FF"/>
          <w:spacing w:val="77"/>
        </w:rPr>
        <w:t> </w:t>
      </w:r>
      <w:r>
        <w:rPr>
          <w:color w:val="0000FF"/>
        </w:rPr>
        <w:t>Appointments</w:t>
      </w:r>
      <w:r>
        <w:rPr>
          <w:color w:val="0000FF"/>
          <w:spacing w:val="17"/>
        </w:rPr>
        <w:t> </w:t>
      </w:r>
      <w:r>
        <w:rPr>
          <w:color w:val="0000FF"/>
        </w:rPr>
        <w:t>at</w:t>
      </w:r>
      <w:r>
        <w:rPr>
          <w:color w:val="0000FF"/>
          <w:spacing w:val="18"/>
        </w:rPr>
        <w:t> </w:t>
      </w:r>
      <w:r>
        <w:rPr>
          <w:color w:val="0000FF"/>
        </w:rPr>
        <w:t>Domestic/Foreign</w:t>
      </w:r>
      <w:r>
        <w:rPr>
          <w:color w:val="0000FF"/>
          <w:spacing w:val="17"/>
        </w:rPr>
        <w:t> </w:t>
      </w:r>
      <w:r>
        <w:rPr>
          <w:color w:val="0000FF"/>
          <w:spacing w:val="-2"/>
        </w:rPr>
        <w:t>Institutions</w:t>
      </w:r>
    </w:p>
    <w:p>
      <w:pPr>
        <w:pStyle w:val="BodyText"/>
        <w:spacing w:line="247" w:lineRule="auto" w:before="7"/>
        <w:ind w:right="730"/>
      </w:pPr>
      <w:r>
        <w:rPr/>
        <w:t>Faculty and staff should request institutional approval prior to accepting domestic or foreign appointments. Staff should</w:t>
      </w:r>
      <w:r>
        <w:rPr>
          <w:spacing w:val="40"/>
        </w:rPr>
        <w:t> </w:t>
      </w:r>
      <w:hyperlink r:id="rId10">
        <w:r>
          <w:rPr/>
          <w:t>have the approval of their supervisors.</w:t>
        </w:r>
        <w:r>
          <w:rPr>
            <w:spacing w:val="80"/>
          </w:rPr>
          <w:t> </w:t>
        </w:r>
        <w:r>
          <w:rPr/>
          <w:t>See Provost guidance for faculty: </w:t>
        </w:r>
        <w:r>
          <w:rPr>
            <w:color w:val="541A8B"/>
          </w:rPr>
          <w:t>https://www.stonybrook.edu/commcms/ </w:t>
        </w:r>
        <w:r>
          <w:rPr>
            <w:color w:val="541A8B"/>
            <w:spacing w:val="-2"/>
          </w:rPr>
          <w:t>provost/faculty/handbook/employment/approval_of_appointments_at_other_institutions</w:t>
        </w:r>
      </w:hyperlink>
    </w:p>
    <w:p>
      <w:pPr>
        <w:pStyle w:val="BodyText"/>
        <w:spacing w:before="6"/>
        <w:ind w:left="0"/>
      </w:pPr>
    </w:p>
    <w:p>
      <w:pPr>
        <w:pStyle w:val="BodyText"/>
        <w:spacing w:line="247" w:lineRule="auto"/>
        <w:ind w:right="730"/>
      </w:pPr>
      <w:r>
        <w:rPr>
          <w:color w:val="0000FF"/>
        </w:rPr>
        <w:t>Important!</w:t>
      </w:r>
      <w:r>
        <w:rPr>
          <w:color w:val="0000FF"/>
          <w:spacing w:val="80"/>
        </w:rPr>
        <w:t> </w:t>
      </w:r>
      <w:r>
        <w:rPr/>
        <w:t>Requests from faculty or staff that are involved in research should be reviewed by the Research Security</w:t>
      </w:r>
      <w:r>
        <w:rPr>
          <w:spacing w:val="40"/>
        </w:rPr>
        <w:t> </w:t>
      </w:r>
      <w:r>
        <w:rPr/>
        <w:t>Program as part of the institutional approval process.</w:t>
      </w:r>
      <w:r>
        <w:rPr>
          <w:spacing w:val="80"/>
          <w:w w:val="150"/>
        </w:rPr>
        <w:t> </w:t>
      </w:r>
      <w:r>
        <w:rPr/>
        <w:t>Participation in a malign foreign talent</w:t>
      </w:r>
      <w:r>
        <w:rPr>
          <w:spacing w:val="78"/>
        </w:rPr>
        <w:t> </w:t>
      </w:r>
      <w:r>
        <w:rPr/>
        <w:t>program may affect faculty</w:t>
      </w:r>
      <w:r>
        <w:rPr>
          <w:spacing w:val="40"/>
        </w:rPr>
        <w:t> </w:t>
      </w:r>
      <w:r>
        <w:rPr/>
        <w:t>and/or</w:t>
      </w:r>
      <w:r>
        <w:rPr>
          <w:spacing w:val="22"/>
        </w:rPr>
        <w:t> </w:t>
      </w:r>
      <w:r>
        <w:rPr/>
        <w:t>institutional</w:t>
      </w:r>
      <w:r>
        <w:rPr>
          <w:spacing w:val="22"/>
        </w:rPr>
        <w:t> </w:t>
      </w:r>
      <w:r>
        <w:rPr/>
        <w:t>ability</w:t>
      </w:r>
      <w:r>
        <w:rPr>
          <w:spacing w:val="22"/>
        </w:rPr>
        <w:t> </w:t>
      </w:r>
      <w:r>
        <w:rPr/>
        <w:t>to</w:t>
      </w:r>
      <w:r>
        <w:rPr>
          <w:spacing w:val="22"/>
        </w:rPr>
        <w:t> </w:t>
      </w:r>
      <w:r>
        <w:rPr/>
        <w:t>receive</w:t>
      </w:r>
      <w:r>
        <w:rPr>
          <w:spacing w:val="22"/>
        </w:rPr>
        <w:t> </w:t>
      </w:r>
      <w:r>
        <w:rPr/>
        <w:t>federal</w:t>
      </w:r>
      <w:r>
        <w:rPr>
          <w:spacing w:val="22"/>
        </w:rPr>
        <w:t> </w:t>
      </w:r>
      <w:r>
        <w:rPr/>
        <w:t>funds.</w:t>
      </w:r>
      <w:r>
        <w:rPr>
          <w:spacing w:val="80"/>
        </w:rPr>
        <w:t> </w:t>
      </w:r>
      <w:hyperlink r:id="rId11">
        <w:r>
          <w:rPr>
            <w:color w:val="1154CC"/>
          </w:rPr>
          <w:t>Requests</w:t>
        </w:r>
        <w:r>
          <w:rPr>
            <w:color w:val="1154CC"/>
            <w:spacing w:val="22"/>
          </w:rPr>
          <w:t> </w:t>
        </w:r>
        <w:r>
          <w:rPr>
            <w:color w:val="1154CC"/>
          </w:rPr>
          <w:t>should</w:t>
        </w:r>
        <w:r>
          <w:rPr>
            <w:color w:val="1154CC"/>
            <w:spacing w:val="22"/>
          </w:rPr>
          <w:t> </w:t>
        </w:r>
        <w:r>
          <w:rPr>
            <w:color w:val="1154CC"/>
          </w:rPr>
          <w:t>be</w:t>
        </w:r>
        <w:r>
          <w:rPr>
            <w:color w:val="1154CC"/>
            <w:spacing w:val="22"/>
          </w:rPr>
          <w:t> </w:t>
        </w:r>
        <w:r>
          <w:rPr>
            <w:color w:val="1154CC"/>
          </w:rPr>
          <w:t>sent</w:t>
        </w:r>
        <w:r>
          <w:rPr>
            <w:color w:val="1154CC"/>
            <w:spacing w:val="22"/>
          </w:rPr>
          <w:t> </w:t>
        </w:r>
        <w:r>
          <w:rPr>
            <w:color w:val="1154CC"/>
          </w:rPr>
          <w:t>to</w:t>
        </w:r>
        <w:r>
          <w:rPr>
            <w:color w:val="1154CC"/>
            <w:spacing w:val="22"/>
          </w:rPr>
          <w:t> </w:t>
        </w:r>
        <w:r>
          <w:rPr>
            <w:color w:val="1154CC"/>
          </w:rPr>
          <w:t>me</w:t>
        </w:r>
        <w:r>
          <w:rPr>
            <w:color w:val="1154CC"/>
            <w:spacing w:val="22"/>
          </w:rPr>
          <w:t> </w:t>
        </w:r>
        <w:r>
          <w:rPr>
            <w:color w:val="1154CC"/>
          </w:rPr>
          <w:t>via</w:t>
        </w:r>
        <w:r>
          <w:rPr>
            <w:color w:val="1154CC"/>
            <w:spacing w:val="22"/>
          </w:rPr>
          <w:t> </w:t>
        </w:r>
        <w:r>
          <w:rPr>
            <w:color w:val="1154CC"/>
          </w:rPr>
          <w:t>email</w:t>
        </w:r>
      </w:hyperlink>
      <w:r>
        <w:rPr>
          <w:color w:val="1154CC"/>
          <w:spacing w:val="22"/>
        </w:rPr>
        <w:t> </w:t>
      </w:r>
      <w:r>
        <w:rPr/>
        <w:t>and</w:t>
      </w:r>
      <w:r>
        <w:rPr>
          <w:spacing w:val="22"/>
        </w:rPr>
        <w:t> </w:t>
      </w:r>
      <w:r>
        <w:rPr/>
        <w:t>include</w:t>
      </w:r>
      <w:r>
        <w:rPr>
          <w:spacing w:val="22"/>
        </w:rPr>
        <w:t> </w:t>
      </w:r>
      <w:r>
        <w:rPr/>
        <w:t>information about the proposed appointment including the name of the institution, proposed activity, dates.</w:t>
      </w:r>
      <w:r>
        <w:rPr>
          <w:spacing w:val="80"/>
          <w:w w:val="150"/>
        </w:rPr>
        <w:t> </w:t>
      </w:r>
      <w:r>
        <w:rPr/>
        <w:t>A</w:t>
      </w:r>
      <w:r>
        <w:rPr>
          <w:spacing w:val="-2"/>
        </w:rPr>
        <w:t> </w:t>
      </w:r>
      <w:r>
        <w:rPr/>
        <w:t>copy of any agreement</w:t>
      </w:r>
      <w:r>
        <w:rPr>
          <w:spacing w:val="40"/>
        </w:rPr>
        <w:t> </w:t>
      </w:r>
      <w:r>
        <w:rPr/>
        <w:t>may be requested.</w:t>
      </w:r>
    </w:p>
    <w:p>
      <w:pPr>
        <w:pStyle w:val="BodyText"/>
        <w:spacing w:before="6"/>
        <w:ind w:left="0"/>
      </w:pPr>
    </w:p>
    <w:p>
      <w:pPr>
        <w:spacing w:line="244" w:lineRule="auto" w:before="1"/>
        <w:ind w:left="519" w:right="459" w:firstLine="0"/>
        <w:jc w:val="left"/>
        <w:rPr>
          <w:rFonts w:ascii="Calibri" w:hAnsi="Calibri"/>
          <w:sz w:val="22"/>
        </w:rPr>
      </w:pPr>
      <w:r>
        <w:rPr>
          <w:b/>
          <w:color w:val="0000FF"/>
          <w:sz w:val="19"/>
        </w:rPr>
        <w:t>Foreign Institutions and Foreign Talent Programs of Concern.</w:t>
      </w:r>
      <w:r>
        <w:rPr>
          <w:b/>
          <w:color w:val="0000FF"/>
          <w:spacing w:val="80"/>
          <w:sz w:val="19"/>
        </w:rPr>
        <w:t> </w:t>
      </w:r>
      <w:r>
        <w:rPr>
          <w:sz w:val="19"/>
        </w:rPr>
        <w:t>The Department of Defense released a list of foreign</w:t>
      </w:r>
      <w:r>
        <w:rPr>
          <w:spacing w:val="40"/>
          <w:sz w:val="19"/>
        </w:rPr>
        <w:t> </w:t>
      </w:r>
      <w:r>
        <w:rPr>
          <w:sz w:val="19"/>
        </w:rPr>
        <w:t>institutions confirmed to be engaging in problematic activity and foreign talent programs that pose a threat to U.S. national</w:t>
      </w:r>
      <w:r>
        <w:rPr>
          <w:spacing w:val="80"/>
          <w:sz w:val="19"/>
        </w:rPr>
        <w:t> </w:t>
      </w:r>
      <w:r>
        <w:rPr>
          <w:sz w:val="19"/>
        </w:rPr>
        <w:t>security.</w:t>
      </w:r>
      <w:r>
        <w:rPr>
          <w:spacing w:val="70"/>
          <w:sz w:val="19"/>
        </w:rPr>
        <w:t> </w:t>
      </w:r>
      <w:r>
        <w:rPr>
          <w:sz w:val="19"/>
        </w:rPr>
        <w:t>This list is in response to Section 1286 of the John S. McCain National Defense</w:t>
      </w:r>
      <w:r>
        <w:rPr>
          <w:spacing w:val="-2"/>
          <w:sz w:val="19"/>
        </w:rPr>
        <w:t> </w:t>
      </w:r>
      <w:r>
        <w:rPr>
          <w:sz w:val="19"/>
        </w:rPr>
        <w:t>Authorization</w:t>
      </w:r>
      <w:r>
        <w:rPr>
          <w:spacing w:val="-2"/>
          <w:sz w:val="19"/>
        </w:rPr>
        <w:t> </w:t>
      </w:r>
      <w:r>
        <w:rPr>
          <w:sz w:val="19"/>
        </w:rPr>
        <w:t>Act for Fiscal Year 2019 (Public Law 115-232). Any activities with any of these institutions should be reviewed by the Research Security</w:t>
      </w:r>
      <w:r>
        <w:rPr>
          <w:spacing w:val="40"/>
          <w:sz w:val="19"/>
        </w:rPr>
        <w:t> </w:t>
      </w:r>
      <w:r>
        <w:rPr>
          <w:sz w:val="19"/>
        </w:rPr>
        <w:t>Program.</w:t>
      </w:r>
      <w:r>
        <w:rPr>
          <w:spacing w:val="80"/>
          <w:sz w:val="19"/>
        </w:rPr>
        <w:t> </w:t>
      </w:r>
      <w:hyperlink r:id="rId11">
        <w:r>
          <w:rPr>
            <w:color w:val="1154CC"/>
            <w:sz w:val="19"/>
          </w:rPr>
          <w:t>Requests</w:t>
        </w:r>
        <w:r>
          <w:rPr>
            <w:color w:val="1154CC"/>
            <w:spacing w:val="19"/>
            <w:sz w:val="19"/>
          </w:rPr>
          <w:t> </w:t>
        </w:r>
        <w:r>
          <w:rPr>
            <w:color w:val="1154CC"/>
            <w:sz w:val="19"/>
          </w:rPr>
          <w:t>should</w:t>
        </w:r>
        <w:r>
          <w:rPr>
            <w:color w:val="1154CC"/>
            <w:spacing w:val="19"/>
            <w:sz w:val="19"/>
          </w:rPr>
          <w:t> </w:t>
        </w:r>
        <w:r>
          <w:rPr>
            <w:color w:val="1154CC"/>
            <w:sz w:val="19"/>
          </w:rPr>
          <w:t>be</w:t>
        </w:r>
        <w:r>
          <w:rPr>
            <w:color w:val="1154CC"/>
            <w:spacing w:val="19"/>
            <w:sz w:val="19"/>
          </w:rPr>
          <w:t> </w:t>
        </w:r>
        <w:r>
          <w:rPr>
            <w:color w:val="1154CC"/>
            <w:sz w:val="19"/>
          </w:rPr>
          <w:t>sent</w:t>
        </w:r>
        <w:r>
          <w:rPr>
            <w:color w:val="1154CC"/>
            <w:spacing w:val="19"/>
            <w:sz w:val="19"/>
          </w:rPr>
          <w:t> </w:t>
        </w:r>
        <w:r>
          <w:rPr>
            <w:color w:val="1154CC"/>
            <w:sz w:val="19"/>
          </w:rPr>
          <w:t>to</w:t>
        </w:r>
        <w:r>
          <w:rPr>
            <w:color w:val="1154CC"/>
            <w:spacing w:val="19"/>
            <w:sz w:val="19"/>
          </w:rPr>
          <w:t> </w:t>
        </w:r>
        <w:r>
          <w:rPr>
            <w:color w:val="1154CC"/>
            <w:sz w:val="19"/>
          </w:rPr>
          <w:t>me</w:t>
        </w:r>
        <w:r>
          <w:rPr>
            <w:color w:val="1154CC"/>
            <w:spacing w:val="19"/>
            <w:sz w:val="19"/>
          </w:rPr>
          <w:t> </w:t>
        </w:r>
        <w:r>
          <w:rPr>
            <w:color w:val="1154CC"/>
            <w:sz w:val="19"/>
          </w:rPr>
          <w:t>via</w:t>
        </w:r>
        <w:r>
          <w:rPr>
            <w:color w:val="1154CC"/>
            <w:spacing w:val="19"/>
            <w:sz w:val="19"/>
          </w:rPr>
          <w:t> </w:t>
        </w:r>
        <w:r>
          <w:rPr>
            <w:color w:val="1154CC"/>
            <w:sz w:val="19"/>
          </w:rPr>
          <w:t>email</w:t>
        </w:r>
      </w:hyperlink>
      <w:r>
        <w:rPr>
          <w:color w:val="1154CC"/>
          <w:spacing w:val="19"/>
          <w:sz w:val="19"/>
        </w:rPr>
        <w:t> </w:t>
      </w:r>
      <w:r>
        <w:rPr>
          <w:sz w:val="19"/>
        </w:rPr>
        <w:t>and</w:t>
      </w:r>
      <w:r>
        <w:rPr>
          <w:spacing w:val="19"/>
          <w:sz w:val="19"/>
        </w:rPr>
        <w:t> </w:t>
      </w:r>
      <w:r>
        <w:rPr>
          <w:sz w:val="19"/>
        </w:rPr>
        <w:t>include</w:t>
      </w:r>
      <w:r>
        <w:rPr>
          <w:spacing w:val="19"/>
          <w:sz w:val="19"/>
        </w:rPr>
        <w:t> </w:t>
      </w:r>
      <w:r>
        <w:rPr>
          <w:sz w:val="19"/>
        </w:rPr>
        <w:t>information</w:t>
      </w:r>
      <w:r>
        <w:rPr>
          <w:spacing w:val="19"/>
          <w:sz w:val="19"/>
        </w:rPr>
        <w:t> </w:t>
      </w:r>
      <w:r>
        <w:rPr>
          <w:sz w:val="19"/>
        </w:rPr>
        <w:t>about</w:t>
      </w:r>
      <w:r>
        <w:rPr>
          <w:spacing w:val="19"/>
          <w:sz w:val="19"/>
        </w:rPr>
        <w:t> </w:t>
      </w:r>
      <w:r>
        <w:rPr>
          <w:sz w:val="19"/>
        </w:rPr>
        <w:t>the</w:t>
      </w:r>
      <w:r>
        <w:rPr>
          <w:spacing w:val="19"/>
          <w:sz w:val="19"/>
        </w:rPr>
        <w:t> </w:t>
      </w:r>
      <w:r>
        <w:rPr>
          <w:sz w:val="19"/>
        </w:rPr>
        <w:t>proposed</w:t>
      </w:r>
      <w:r>
        <w:rPr>
          <w:spacing w:val="19"/>
          <w:sz w:val="19"/>
        </w:rPr>
        <w:t> </w:t>
      </w:r>
      <w:r>
        <w:rPr>
          <w:sz w:val="19"/>
        </w:rPr>
        <w:t>activity</w:t>
      </w:r>
      <w:r>
        <w:rPr>
          <w:spacing w:val="19"/>
          <w:sz w:val="19"/>
        </w:rPr>
        <w:t> </w:t>
      </w:r>
      <w:r>
        <w:rPr>
          <w:sz w:val="19"/>
        </w:rPr>
        <w:t>and</w:t>
      </w:r>
      <w:r>
        <w:rPr>
          <w:spacing w:val="19"/>
          <w:sz w:val="19"/>
        </w:rPr>
        <w:t> </w:t>
      </w:r>
      <w:r>
        <w:rPr>
          <w:sz w:val="19"/>
        </w:rPr>
        <w:t>the</w:t>
      </w:r>
      <w:r>
        <w:rPr>
          <w:spacing w:val="19"/>
          <w:sz w:val="19"/>
        </w:rPr>
        <w:t> </w:t>
      </w:r>
      <w:r>
        <w:rPr>
          <w:sz w:val="19"/>
        </w:rPr>
        <w:t>name</w:t>
      </w:r>
      <w:r>
        <w:rPr>
          <w:spacing w:val="19"/>
          <w:sz w:val="19"/>
        </w:rPr>
        <w:t> </w:t>
      </w:r>
      <w:r>
        <w:rPr>
          <w:sz w:val="19"/>
        </w:rPr>
        <w:t>of </w:t>
      </w:r>
      <w:hyperlink r:id="rId12">
        <w:r>
          <w:rPr>
            <w:sz w:val="19"/>
          </w:rPr>
          <w:t>the institution.</w:t>
        </w:r>
        <w:r>
          <w:rPr>
            <w:spacing w:val="40"/>
            <w:sz w:val="19"/>
          </w:rPr>
          <w:t> </w:t>
        </w:r>
        <w:r>
          <w:rPr>
            <w:sz w:val="19"/>
          </w:rPr>
          <w:t>The list is available at: </w:t>
        </w:r>
        <w:r>
          <w:rPr>
            <w:rFonts w:ascii="Calibri" w:hAnsi="Calibri"/>
            <w:color w:val="0462C1"/>
            <w:sz w:val="22"/>
          </w:rPr>
          <w:t>Pages 17-21 of Countering Unwanted Foreign Inﬂuence in Department-Funded Research at Institutions of Higher Education (Department of Defense, June 29, 2023)</w:t>
        </w:r>
      </w:hyperlink>
    </w:p>
    <w:p>
      <w:pPr>
        <w:pStyle w:val="Heading2"/>
        <w:spacing w:line="247" w:lineRule="auto" w:before="227"/>
        <w:ind w:right="327"/>
      </w:pPr>
      <w:r>
        <w:rPr>
          <w:color w:val="0000FF"/>
        </w:rPr>
        <w:t>What to do if you already have a collaboration, project or other involvement with a party listed on the Academic</w:t>
      </w:r>
      <w:r>
        <w:rPr>
          <w:color w:val="0000FF"/>
          <w:spacing w:val="40"/>
        </w:rPr>
        <w:t> </w:t>
      </w:r>
      <w:r>
        <w:rPr>
          <w:color w:val="0000FF"/>
        </w:rPr>
        <w:t>Institution and Foreign Talent Recruitment Program Lists</w:t>
      </w:r>
    </w:p>
    <w:p>
      <w:pPr>
        <w:spacing w:line="244" w:lineRule="auto" w:before="0"/>
        <w:ind w:left="519" w:right="327" w:firstLine="0"/>
        <w:jc w:val="left"/>
        <w:rPr>
          <w:rFonts w:ascii="Calibri" w:hAnsi="Calibri"/>
          <w:sz w:val="22"/>
        </w:rPr>
      </w:pPr>
      <w:r>
        <w:rPr>
          <w:sz w:val="19"/>
        </w:rPr>
        <w:t>If you have any existing collaborations, projects, or other involvement with any of these institutions, the activity should be</w:t>
      </w:r>
      <w:r>
        <w:rPr>
          <w:spacing w:val="80"/>
          <w:sz w:val="19"/>
        </w:rPr>
        <w:t> </w:t>
      </w:r>
      <w:r>
        <w:rPr>
          <w:sz w:val="19"/>
        </w:rPr>
        <w:t>reviewed by the Research Security Program.</w:t>
      </w:r>
      <w:r>
        <w:rPr>
          <w:spacing w:val="80"/>
          <w:w w:val="150"/>
          <w:sz w:val="19"/>
        </w:rPr>
        <w:t> </w:t>
      </w:r>
      <w:hyperlink r:id="rId11">
        <w:r>
          <w:rPr>
            <w:color w:val="1154CC"/>
            <w:sz w:val="19"/>
          </w:rPr>
          <w:t>Requests should be sent to me via email</w:t>
        </w:r>
      </w:hyperlink>
      <w:r>
        <w:rPr>
          <w:color w:val="1154CC"/>
          <w:sz w:val="19"/>
        </w:rPr>
        <w:t> </w:t>
      </w:r>
      <w:r>
        <w:rPr>
          <w:sz w:val="19"/>
        </w:rPr>
        <w:t>and include information about the</w:t>
      </w:r>
      <w:r>
        <w:rPr>
          <w:spacing w:val="80"/>
          <w:sz w:val="19"/>
        </w:rPr>
        <w:t> </w:t>
      </w:r>
      <w:hyperlink r:id="rId12">
        <w:r>
          <w:rPr>
            <w:sz w:val="19"/>
          </w:rPr>
          <w:t>proposed activity and the name of the institution. The list is available at: </w:t>
        </w:r>
        <w:r>
          <w:rPr>
            <w:rFonts w:ascii="Calibri" w:hAnsi="Calibri"/>
            <w:color w:val="0462C1"/>
            <w:sz w:val="22"/>
          </w:rPr>
          <w:t>Pages 17-21 of Countering Unwanted Foreign Inﬂuence</w:t>
        </w:r>
        <w:r>
          <w:rPr>
            <w:rFonts w:ascii="Calibri" w:hAnsi="Calibri"/>
            <w:color w:val="0462C1"/>
            <w:spacing w:val="-6"/>
            <w:sz w:val="22"/>
          </w:rPr>
          <w:t> </w:t>
        </w:r>
        <w:r>
          <w:rPr>
            <w:rFonts w:ascii="Calibri" w:hAnsi="Calibri"/>
            <w:color w:val="0462C1"/>
            <w:sz w:val="22"/>
          </w:rPr>
          <w:t>in</w:t>
        </w:r>
        <w:r>
          <w:rPr>
            <w:rFonts w:ascii="Calibri" w:hAnsi="Calibri"/>
            <w:color w:val="0462C1"/>
            <w:spacing w:val="-6"/>
            <w:sz w:val="22"/>
          </w:rPr>
          <w:t> </w:t>
        </w:r>
        <w:r>
          <w:rPr>
            <w:rFonts w:ascii="Calibri" w:hAnsi="Calibri"/>
            <w:color w:val="0462C1"/>
            <w:sz w:val="22"/>
          </w:rPr>
          <w:t>Department-Funded</w:t>
        </w:r>
        <w:r>
          <w:rPr>
            <w:rFonts w:ascii="Calibri" w:hAnsi="Calibri"/>
            <w:color w:val="0462C1"/>
            <w:spacing w:val="-6"/>
            <w:sz w:val="22"/>
          </w:rPr>
          <w:t> </w:t>
        </w:r>
        <w:r>
          <w:rPr>
            <w:rFonts w:ascii="Calibri" w:hAnsi="Calibri"/>
            <w:color w:val="0462C1"/>
            <w:sz w:val="22"/>
          </w:rPr>
          <w:t>Research</w:t>
        </w:r>
        <w:r>
          <w:rPr>
            <w:rFonts w:ascii="Calibri" w:hAnsi="Calibri"/>
            <w:color w:val="0462C1"/>
            <w:spacing w:val="-6"/>
            <w:sz w:val="22"/>
          </w:rPr>
          <w:t> </w:t>
        </w:r>
        <w:r>
          <w:rPr>
            <w:rFonts w:ascii="Calibri" w:hAnsi="Calibri"/>
            <w:color w:val="0462C1"/>
            <w:sz w:val="22"/>
          </w:rPr>
          <w:t>at</w:t>
        </w:r>
        <w:r>
          <w:rPr>
            <w:rFonts w:ascii="Calibri" w:hAnsi="Calibri"/>
            <w:color w:val="0462C1"/>
            <w:spacing w:val="-6"/>
            <w:sz w:val="22"/>
          </w:rPr>
          <w:t> </w:t>
        </w:r>
        <w:r>
          <w:rPr>
            <w:rFonts w:ascii="Calibri" w:hAnsi="Calibri"/>
            <w:color w:val="0462C1"/>
            <w:sz w:val="22"/>
          </w:rPr>
          <w:t>Institutions</w:t>
        </w:r>
        <w:r>
          <w:rPr>
            <w:rFonts w:ascii="Calibri" w:hAnsi="Calibri"/>
            <w:color w:val="0462C1"/>
            <w:spacing w:val="-6"/>
            <w:sz w:val="22"/>
          </w:rPr>
          <w:t> </w:t>
        </w:r>
        <w:r>
          <w:rPr>
            <w:rFonts w:ascii="Calibri" w:hAnsi="Calibri"/>
            <w:color w:val="0462C1"/>
            <w:sz w:val="22"/>
          </w:rPr>
          <w:t>of</w:t>
        </w:r>
        <w:r>
          <w:rPr>
            <w:rFonts w:ascii="Calibri" w:hAnsi="Calibri"/>
            <w:color w:val="0462C1"/>
            <w:spacing w:val="-6"/>
            <w:sz w:val="22"/>
          </w:rPr>
          <w:t> </w:t>
        </w:r>
        <w:r>
          <w:rPr>
            <w:rFonts w:ascii="Calibri" w:hAnsi="Calibri"/>
            <w:color w:val="0462C1"/>
            <w:sz w:val="22"/>
          </w:rPr>
          <w:t>Higher</w:t>
        </w:r>
        <w:r>
          <w:rPr>
            <w:rFonts w:ascii="Calibri" w:hAnsi="Calibri"/>
            <w:color w:val="0462C1"/>
            <w:spacing w:val="-6"/>
            <w:sz w:val="22"/>
          </w:rPr>
          <w:t> </w:t>
        </w:r>
        <w:r>
          <w:rPr>
            <w:rFonts w:ascii="Calibri" w:hAnsi="Calibri"/>
            <w:color w:val="0462C1"/>
            <w:sz w:val="22"/>
          </w:rPr>
          <w:t>Education</w:t>
        </w:r>
        <w:r>
          <w:rPr>
            <w:rFonts w:ascii="Calibri" w:hAnsi="Calibri"/>
            <w:color w:val="0462C1"/>
            <w:spacing w:val="-6"/>
            <w:sz w:val="22"/>
          </w:rPr>
          <w:t> </w:t>
        </w:r>
        <w:r>
          <w:rPr>
            <w:rFonts w:ascii="Calibri" w:hAnsi="Calibri"/>
            <w:color w:val="0462C1"/>
            <w:sz w:val="22"/>
          </w:rPr>
          <w:t>(Department</w:t>
        </w:r>
        <w:r>
          <w:rPr>
            <w:rFonts w:ascii="Calibri" w:hAnsi="Calibri"/>
            <w:color w:val="0462C1"/>
            <w:spacing w:val="-6"/>
            <w:sz w:val="22"/>
          </w:rPr>
          <w:t> </w:t>
        </w:r>
        <w:r>
          <w:rPr>
            <w:rFonts w:ascii="Calibri" w:hAnsi="Calibri"/>
            <w:color w:val="0462C1"/>
            <w:sz w:val="22"/>
          </w:rPr>
          <w:t>of</w:t>
        </w:r>
        <w:r>
          <w:rPr>
            <w:rFonts w:ascii="Calibri" w:hAnsi="Calibri"/>
            <w:color w:val="0462C1"/>
            <w:spacing w:val="-6"/>
            <w:sz w:val="22"/>
          </w:rPr>
          <w:t> </w:t>
        </w:r>
        <w:r>
          <w:rPr>
            <w:rFonts w:ascii="Calibri" w:hAnsi="Calibri"/>
            <w:color w:val="0462C1"/>
            <w:sz w:val="22"/>
          </w:rPr>
          <w:t>Defense,</w:t>
        </w:r>
        <w:r>
          <w:rPr>
            <w:rFonts w:ascii="Calibri" w:hAnsi="Calibri"/>
            <w:color w:val="0462C1"/>
            <w:spacing w:val="-6"/>
            <w:sz w:val="22"/>
          </w:rPr>
          <w:t> </w:t>
        </w:r>
        <w:r>
          <w:rPr>
            <w:rFonts w:ascii="Calibri" w:hAnsi="Calibri"/>
            <w:color w:val="0462C1"/>
            <w:sz w:val="22"/>
          </w:rPr>
          <w:t>June</w:t>
        </w:r>
        <w:r>
          <w:rPr>
            <w:rFonts w:ascii="Calibri" w:hAnsi="Calibri"/>
            <w:color w:val="0462C1"/>
            <w:spacing w:val="-6"/>
            <w:sz w:val="22"/>
          </w:rPr>
          <w:t> </w:t>
        </w:r>
        <w:r>
          <w:rPr>
            <w:rFonts w:ascii="Calibri" w:hAnsi="Calibri"/>
            <w:color w:val="0462C1"/>
            <w:sz w:val="22"/>
          </w:rPr>
          <w:t>29,</w:t>
        </w:r>
        <w:r>
          <w:rPr>
            <w:rFonts w:ascii="Calibri" w:hAnsi="Calibri"/>
            <w:color w:val="0462C1"/>
            <w:spacing w:val="-6"/>
            <w:sz w:val="22"/>
          </w:rPr>
          <w:t> </w:t>
        </w:r>
        <w:r>
          <w:rPr>
            <w:rFonts w:ascii="Calibri" w:hAnsi="Calibri"/>
            <w:color w:val="0462C1"/>
            <w:sz w:val="22"/>
          </w:rPr>
          <w:t>2023)</w:t>
        </w:r>
      </w:hyperlink>
    </w:p>
    <w:p>
      <w:pPr>
        <w:spacing w:after="0" w:line="244" w:lineRule="auto"/>
        <w:jc w:val="left"/>
        <w:rPr>
          <w:rFonts w:ascii="Calibri" w:hAnsi="Calibri"/>
          <w:sz w:val="22"/>
        </w:rPr>
        <w:sectPr>
          <w:headerReference w:type="default" r:id="rId5"/>
          <w:footerReference w:type="default" r:id="rId6"/>
          <w:type w:val="continuous"/>
          <w:pgSz w:w="12240" w:h="15840"/>
          <w:pgMar w:header="274" w:footer="285" w:top="680" w:bottom="480" w:left="360" w:right="360"/>
          <w:pgNumType w:start="1"/>
        </w:sectPr>
      </w:pPr>
    </w:p>
    <w:p>
      <w:pPr>
        <w:pStyle w:val="Heading2"/>
        <w:spacing w:before="116"/>
      </w:pPr>
      <w:r>
        <w:rPr>
          <w:color w:val="0000FF"/>
          <w:spacing w:val="-2"/>
        </w:rPr>
        <w:t>Definitions</w:t>
      </w:r>
    </w:p>
    <w:p>
      <w:pPr>
        <w:pStyle w:val="BodyText"/>
        <w:spacing w:before="178"/>
        <w:ind w:left="0"/>
        <w:rPr>
          <w:b/>
        </w:rPr>
      </w:pPr>
    </w:p>
    <w:p>
      <w:pPr>
        <w:spacing w:before="1"/>
        <w:ind w:left="519" w:right="0" w:firstLine="0"/>
        <w:jc w:val="left"/>
        <w:rPr>
          <w:b/>
          <w:sz w:val="19"/>
        </w:rPr>
      </w:pPr>
      <w:r>
        <w:rPr>
          <w:b/>
          <w:color w:val="52253B"/>
          <w:sz w:val="19"/>
        </w:rPr>
        <w:t>Foreign</w:t>
      </w:r>
      <w:r>
        <w:rPr>
          <w:b/>
          <w:color w:val="52253B"/>
          <w:spacing w:val="11"/>
          <w:sz w:val="19"/>
        </w:rPr>
        <w:t> </w:t>
      </w:r>
      <w:r>
        <w:rPr>
          <w:b/>
          <w:color w:val="52253B"/>
          <w:sz w:val="19"/>
        </w:rPr>
        <w:t>Talent</w:t>
      </w:r>
      <w:r>
        <w:rPr>
          <w:b/>
          <w:color w:val="52253B"/>
          <w:spacing w:val="12"/>
          <w:sz w:val="19"/>
        </w:rPr>
        <w:t> </w:t>
      </w:r>
      <w:r>
        <w:rPr>
          <w:b/>
          <w:color w:val="52253B"/>
          <w:sz w:val="19"/>
        </w:rPr>
        <w:t>Recruitment</w:t>
      </w:r>
      <w:r>
        <w:rPr>
          <w:b/>
          <w:color w:val="52253B"/>
          <w:spacing w:val="12"/>
          <w:sz w:val="19"/>
        </w:rPr>
        <w:t> </w:t>
      </w:r>
      <w:r>
        <w:rPr>
          <w:b/>
          <w:color w:val="52253B"/>
          <w:spacing w:val="-2"/>
          <w:sz w:val="19"/>
        </w:rPr>
        <w:t>Program</w:t>
      </w:r>
    </w:p>
    <w:p>
      <w:pPr>
        <w:pStyle w:val="BodyText"/>
        <w:spacing w:line="247" w:lineRule="auto" w:before="6"/>
        <w:ind w:right="730"/>
      </w:pPr>
      <w:r>
        <w:rPr/>
        <w:t>An effort organized, managed, or funded by a foreign government, or a foreign government instrumentality or entity, to</w:t>
      </w:r>
      <w:r>
        <w:rPr>
          <w:spacing w:val="40"/>
        </w:rPr>
        <w:t> </w:t>
      </w:r>
      <w:r>
        <w:rPr/>
        <w:t>recruit science and technology professionals or students (regardless of citizenship or national origin or whether </w:t>
      </w:r>
      <w:r>
        <w:rPr/>
        <w:t>providing</w:t>
      </w:r>
      <w:r>
        <w:rPr>
          <w:spacing w:val="40"/>
        </w:rPr>
        <w:t> </w:t>
      </w:r>
      <w:r>
        <w:rPr/>
        <w:t>the recruited individual a full-time or part-time position).</w:t>
      </w:r>
      <w:r>
        <w:rPr>
          <w:spacing w:val="80"/>
        </w:rPr>
        <w:t> </w:t>
      </w:r>
      <w:r>
        <w:rPr/>
        <w:t>(National Science and Technology Council implementation guidance for NSPM-33).</w:t>
      </w:r>
    </w:p>
    <w:p>
      <w:pPr>
        <w:pStyle w:val="BodyText"/>
        <w:spacing w:before="6"/>
        <w:ind w:left="0"/>
      </w:pPr>
    </w:p>
    <w:p>
      <w:pPr>
        <w:pStyle w:val="Heading2"/>
      </w:pPr>
      <w:r>
        <w:rPr>
          <w:color w:val="52253B"/>
        </w:rPr>
        <w:t>Malign</w:t>
      </w:r>
      <w:r>
        <w:rPr>
          <w:color w:val="52253B"/>
          <w:spacing w:val="12"/>
        </w:rPr>
        <w:t> </w:t>
      </w:r>
      <w:r>
        <w:rPr>
          <w:color w:val="52253B"/>
        </w:rPr>
        <w:t>Foreign</w:t>
      </w:r>
      <w:r>
        <w:rPr>
          <w:color w:val="52253B"/>
          <w:spacing w:val="12"/>
        </w:rPr>
        <w:t> </w:t>
      </w:r>
      <w:r>
        <w:rPr>
          <w:color w:val="52253B"/>
        </w:rPr>
        <w:t>Talent</w:t>
      </w:r>
      <w:r>
        <w:rPr>
          <w:color w:val="52253B"/>
          <w:spacing w:val="12"/>
        </w:rPr>
        <w:t> </w:t>
      </w:r>
      <w:r>
        <w:rPr>
          <w:color w:val="52253B"/>
        </w:rPr>
        <w:t>Recruitment</w:t>
      </w:r>
      <w:r>
        <w:rPr>
          <w:color w:val="52253B"/>
          <w:spacing w:val="12"/>
        </w:rPr>
        <w:t> </w:t>
      </w:r>
      <w:r>
        <w:rPr>
          <w:color w:val="52253B"/>
          <w:spacing w:val="-2"/>
        </w:rPr>
        <w:t>Program</w:t>
      </w:r>
    </w:p>
    <w:p>
      <w:pPr>
        <w:pStyle w:val="ListParagraph"/>
        <w:numPr>
          <w:ilvl w:val="0"/>
          <w:numId w:val="1"/>
        </w:numPr>
        <w:tabs>
          <w:tab w:pos="832" w:val="left" w:leader="none"/>
        </w:tabs>
        <w:spacing w:line="247" w:lineRule="auto" w:before="7" w:after="0"/>
        <w:ind w:left="519" w:right="679" w:firstLine="0"/>
        <w:jc w:val="left"/>
        <w:rPr>
          <w:sz w:val="19"/>
        </w:rPr>
      </w:pPr>
      <w:r>
        <w:rPr>
          <w:sz w:val="19"/>
        </w:rPr>
        <w:t>any program, position, or activity that includes compensation in the form of cash, in-kind compensation, including</w:t>
      </w:r>
      <w:r>
        <w:rPr>
          <w:spacing w:val="40"/>
          <w:sz w:val="19"/>
        </w:rPr>
        <w:t> </w:t>
      </w:r>
      <w:r>
        <w:rPr>
          <w:sz w:val="19"/>
        </w:rPr>
        <w:t>research funding, promised future compensation, complimentary foreign travel, things of non de minimis value, </w:t>
      </w:r>
      <w:r>
        <w:rPr>
          <w:sz w:val="19"/>
        </w:rPr>
        <w:t>honorific</w:t>
      </w:r>
      <w:r>
        <w:rPr>
          <w:spacing w:val="40"/>
          <w:sz w:val="19"/>
        </w:rPr>
        <w:t> </w:t>
      </w:r>
      <w:r>
        <w:rPr>
          <w:sz w:val="19"/>
        </w:rPr>
        <w:t>titles, career advancement opportunities, or other types of remuneration or consideration directly provided by a foreign</w:t>
      </w:r>
      <w:r>
        <w:rPr>
          <w:spacing w:val="80"/>
          <w:sz w:val="19"/>
        </w:rPr>
        <w:t> </w:t>
      </w:r>
      <w:r>
        <w:rPr>
          <w:sz w:val="19"/>
        </w:rPr>
        <w:t>country at any level (national, provincial, or local) or their designee, or an entity based in, funded by, or affiliated with a</w:t>
      </w:r>
      <w:r>
        <w:rPr>
          <w:spacing w:val="40"/>
          <w:sz w:val="19"/>
        </w:rPr>
        <w:t> </w:t>
      </w:r>
      <w:r>
        <w:rPr>
          <w:sz w:val="19"/>
        </w:rPr>
        <w:t>foreign country, whether or not directly sponsored by the foreign country, to the targeted individual, whether directly or</w:t>
      </w:r>
      <w:r>
        <w:rPr>
          <w:spacing w:val="40"/>
          <w:sz w:val="19"/>
        </w:rPr>
        <w:t> </w:t>
      </w:r>
      <w:r>
        <w:rPr>
          <w:sz w:val="19"/>
        </w:rPr>
        <w:t>indirectly</w:t>
      </w:r>
      <w:r>
        <w:rPr>
          <w:spacing w:val="26"/>
          <w:sz w:val="19"/>
        </w:rPr>
        <w:t> </w:t>
      </w:r>
      <w:r>
        <w:rPr>
          <w:sz w:val="19"/>
        </w:rPr>
        <w:t>stated</w:t>
      </w:r>
      <w:r>
        <w:rPr>
          <w:spacing w:val="26"/>
          <w:sz w:val="19"/>
        </w:rPr>
        <w:t> </w:t>
      </w:r>
      <w:r>
        <w:rPr>
          <w:sz w:val="19"/>
        </w:rPr>
        <w:t>in</w:t>
      </w:r>
      <w:r>
        <w:rPr>
          <w:spacing w:val="26"/>
          <w:sz w:val="19"/>
        </w:rPr>
        <w:t> </w:t>
      </w:r>
      <w:r>
        <w:rPr>
          <w:sz w:val="19"/>
        </w:rPr>
        <w:t>the</w:t>
      </w:r>
      <w:r>
        <w:rPr>
          <w:spacing w:val="26"/>
          <w:sz w:val="19"/>
        </w:rPr>
        <w:t> </w:t>
      </w:r>
      <w:r>
        <w:rPr>
          <w:sz w:val="19"/>
        </w:rPr>
        <w:t>arrangement,</w:t>
      </w:r>
      <w:r>
        <w:rPr>
          <w:spacing w:val="26"/>
          <w:sz w:val="19"/>
        </w:rPr>
        <w:t> </w:t>
      </w:r>
      <w:r>
        <w:rPr>
          <w:sz w:val="19"/>
        </w:rPr>
        <w:t>contract,</w:t>
      </w:r>
      <w:r>
        <w:rPr>
          <w:spacing w:val="26"/>
          <w:sz w:val="19"/>
        </w:rPr>
        <w:t> </w:t>
      </w:r>
      <w:r>
        <w:rPr>
          <w:sz w:val="19"/>
        </w:rPr>
        <w:t>or</w:t>
      </w:r>
      <w:r>
        <w:rPr>
          <w:spacing w:val="26"/>
          <w:sz w:val="19"/>
        </w:rPr>
        <w:t> </w:t>
      </w:r>
      <w:r>
        <w:rPr>
          <w:sz w:val="19"/>
        </w:rPr>
        <w:t>other</w:t>
      </w:r>
      <w:r>
        <w:rPr>
          <w:spacing w:val="26"/>
          <w:sz w:val="19"/>
        </w:rPr>
        <w:t> </w:t>
      </w:r>
      <w:r>
        <w:rPr>
          <w:sz w:val="19"/>
        </w:rPr>
        <w:t>documentation</w:t>
      </w:r>
      <w:r>
        <w:rPr>
          <w:spacing w:val="26"/>
          <w:sz w:val="19"/>
        </w:rPr>
        <w:t> </w:t>
      </w:r>
      <w:r>
        <w:rPr>
          <w:sz w:val="19"/>
        </w:rPr>
        <w:t>at</w:t>
      </w:r>
      <w:r>
        <w:rPr>
          <w:spacing w:val="26"/>
          <w:sz w:val="19"/>
        </w:rPr>
        <w:t> </w:t>
      </w:r>
      <w:r>
        <w:rPr>
          <w:sz w:val="19"/>
        </w:rPr>
        <w:t>issue,</w:t>
      </w:r>
      <w:r>
        <w:rPr>
          <w:spacing w:val="26"/>
          <w:sz w:val="19"/>
        </w:rPr>
        <w:t> </w:t>
      </w:r>
      <w:r>
        <w:rPr>
          <w:sz w:val="19"/>
        </w:rPr>
        <w:t>in</w:t>
      </w:r>
      <w:r>
        <w:rPr>
          <w:spacing w:val="26"/>
          <w:sz w:val="19"/>
        </w:rPr>
        <w:t> </w:t>
      </w:r>
      <w:r>
        <w:rPr>
          <w:sz w:val="19"/>
        </w:rPr>
        <w:t>exchange</w:t>
      </w:r>
      <w:r>
        <w:rPr>
          <w:spacing w:val="26"/>
          <w:sz w:val="19"/>
        </w:rPr>
        <w:t> </w:t>
      </w:r>
      <w:r>
        <w:rPr>
          <w:sz w:val="19"/>
        </w:rPr>
        <w:t>for</w:t>
      </w:r>
      <w:r>
        <w:rPr>
          <w:spacing w:val="26"/>
          <w:sz w:val="19"/>
        </w:rPr>
        <w:t> </w:t>
      </w:r>
      <w:r>
        <w:rPr>
          <w:sz w:val="19"/>
        </w:rPr>
        <w:t>the</w:t>
      </w:r>
      <w:r>
        <w:rPr>
          <w:spacing w:val="26"/>
          <w:sz w:val="19"/>
        </w:rPr>
        <w:t> </w:t>
      </w:r>
      <w:r>
        <w:rPr>
          <w:sz w:val="19"/>
        </w:rPr>
        <w:t>individual—</w:t>
      </w:r>
    </w:p>
    <w:p>
      <w:pPr>
        <w:pStyle w:val="ListParagraph"/>
        <w:numPr>
          <w:ilvl w:val="1"/>
          <w:numId w:val="1"/>
        </w:numPr>
        <w:tabs>
          <w:tab w:pos="1345" w:val="left" w:leader="none"/>
        </w:tabs>
        <w:spacing w:line="247" w:lineRule="auto" w:before="0" w:after="0"/>
        <w:ind w:left="1119" w:right="685" w:firstLine="0"/>
        <w:jc w:val="left"/>
        <w:rPr>
          <w:sz w:val="19"/>
        </w:rPr>
      </w:pPr>
      <w:r>
        <w:rPr>
          <w:sz w:val="19"/>
        </w:rPr>
        <w:t>engaging in the unauthorized transfer of intellectual property, materials, data products, or other nonpublic information owned by a United States entity or developed with a Federal research and development award to the</w:t>
      </w:r>
      <w:r>
        <w:rPr>
          <w:spacing w:val="40"/>
          <w:sz w:val="19"/>
        </w:rPr>
        <w:t> </w:t>
      </w:r>
      <w:r>
        <w:rPr>
          <w:sz w:val="19"/>
        </w:rPr>
        <w:t>government of a foreign country or an entity based in, funded by, or affiliated with a foreign country regardless of</w:t>
      </w:r>
      <w:r>
        <w:rPr>
          <w:spacing w:val="40"/>
          <w:sz w:val="19"/>
        </w:rPr>
        <w:t> </w:t>
      </w:r>
      <w:r>
        <w:rPr>
          <w:sz w:val="19"/>
        </w:rPr>
        <w:t>whether that government or entity provided support for the development of the intellectual property, materials, or</w:t>
      </w:r>
      <w:r>
        <w:rPr>
          <w:spacing w:val="40"/>
          <w:sz w:val="19"/>
        </w:rPr>
        <w:t> </w:t>
      </w:r>
      <w:r>
        <w:rPr>
          <w:sz w:val="19"/>
        </w:rPr>
        <w:t>data products;</w:t>
      </w:r>
    </w:p>
    <w:p>
      <w:pPr>
        <w:pStyle w:val="ListParagraph"/>
        <w:numPr>
          <w:ilvl w:val="1"/>
          <w:numId w:val="1"/>
        </w:numPr>
        <w:tabs>
          <w:tab w:pos="1389" w:val="left" w:leader="none"/>
        </w:tabs>
        <w:spacing w:line="240" w:lineRule="auto" w:before="0" w:after="0"/>
        <w:ind w:left="1389" w:right="0" w:hanging="270"/>
        <w:jc w:val="left"/>
        <w:rPr>
          <w:sz w:val="19"/>
        </w:rPr>
      </w:pPr>
      <w:r>
        <w:rPr>
          <w:sz w:val="19"/>
        </w:rPr>
        <w:t>being</w:t>
      </w:r>
      <w:r>
        <w:rPr>
          <w:spacing w:val="10"/>
          <w:sz w:val="19"/>
        </w:rPr>
        <w:t> </w:t>
      </w:r>
      <w:r>
        <w:rPr>
          <w:sz w:val="19"/>
        </w:rPr>
        <w:t>required</w:t>
      </w:r>
      <w:r>
        <w:rPr>
          <w:spacing w:val="10"/>
          <w:sz w:val="19"/>
        </w:rPr>
        <w:t> </w:t>
      </w:r>
      <w:r>
        <w:rPr>
          <w:sz w:val="19"/>
        </w:rPr>
        <w:t>to</w:t>
      </w:r>
      <w:r>
        <w:rPr>
          <w:spacing w:val="10"/>
          <w:sz w:val="19"/>
        </w:rPr>
        <w:t> </w:t>
      </w:r>
      <w:r>
        <w:rPr>
          <w:sz w:val="19"/>
        </w:rPr>
        <w:t>recruit</w:t>
      </w:r>
      <w:r>
        <w:rPr>
          <w:spacing w:val="11"/>
          <w:sz w:val="19"/>
        </w:rPr>
        <w:t> </w:t>
      </w:r>
      <w:r>
        <w:rPr>
          <w:sz w:val="19"/>
        </w:rPr>
        <w:t>trainees</w:t>
      </w:r>
      <w:r>
        <w:rPr>
          <w:spacing w:val="10"/>
          <w:sz w:val="19"/>
        </w:rPr>
        <w:t> </w:t>
      </w:r>
      <w:r>
        <w:rPr>
          <w:sz w:val="19"/>
        </w:rPr>
        <w:t>or</w:t>
      </w:r>
      <w:r>
        <w:rPr>
          <w:spacing w:val="10"/>
          <w:sz w:val="19"/>
        </w:rPr>
        <w:t> </w:t>
      </w:r>
      <w:r>
        <w:rPr>
          <w:sz w:val="19"/>
        </w:rPr>
        <w:t>researchers</w:t>
      </w:r>
      <w:r>
        <w:rPr>
          <w:spacing w:val="11"/>
          <w:sz w:val="19"/>
        </w:rPr>
        <w:t> </w:t>
      </w:r>
      <w:r>
        <w:rPr>
          <w:sz w:val="19"/>
        </w:rPr>
        <w:t>to</w:t>
      </w:r>
      <w:r>
        <w:rPr>
          <w:spacing w:val="10"/>
          <w:sz w:val="19"/>
        </w:rPr>
        <w:t> </w:t>
      </w:r>
      <w:r>
        <w:rPr>
          <w:sz w:val="19"/>
        </w:rPr>
        <w:t>enroll</w:t>
      </w:r>
      <w:r>
        <w:rPr>
          <w:spacing w:val="10"/>
          <w:sz w:val="19"/>
        </w:rPr>
        <w:t> </w:t>
      </w:r>
      <w:r>
        <w:rPr>
          <w:sz w:val="19"/>
        </w:rPr>
        <w:t>in</w:t>
      </w:r>
      <w:r>
        <w:rPr>
          <w:spacing w:val="10"/>
          <w:sz w:val="19"/>
        </w:rPr>
        <w:t> </w:t>
      </w:r>
      <w:r>
        <w:rPr>
          <w:sz w:val="19"/>
        </w:rPr>
        <w:t>such</w:t>
      </w:r>
      <w:r>
        <w:rPr>
          <w:spacing w:val="11"/>
          <w:sz w:val="19"/>
        </w:rPr>
        <w:t> </w:t>
      </w:r>
      <w:r>
        <w:rPr>
          <w:sz w:val="19"/>
        </w:rPr>
        <w:t>program,</w:t>
      </w:r>
      <w:r>
        <w:rPr>
          <w:spacing w:val="10"/>
          <w:sz w:val="19"/>
        </w:rPr>
        <w:t> </w:t>
      </w:r>
      <w:r>
        <w:rPr>
          <w:sz w:val="19"/>
        </w:rPr>
        <w:t>position,</w:t>
      </w:r>
      <w:r>
        <w:rPr>
          <w:spacing w:val="10"/>
          <w:sz w:val="19"/>
        </w:rPr>
        <w:t> </w:t>
      </w:r>
      <w:r>
        <w:rPr>
          <w:sz w:val="19"/>
        </w:rPr>
        <w:t>or</w:t>
      </w:r>
      <w:r>
        <w:rPr>
          <w:spacing w:val="11"/>
          <w:sz w:val="19"/>
        </w:rPr>
        <w:t> </w:t>
      </w:r>
      <w:r>
        <w:rPr>
          <w:spacing w:val="-2"/>
          <w:sz w:val="19"/>
        </w:rPr>
        <w:t>activity;</w:t>
      </w:r>
    </w:p>
    <w:p>
      <w:pPr>
        <w:pStyle w:val="ListParagraph"/>
        <w:numPr>
          <w:ilvl w:val="1"/>
          <w:numId w:val="1"/>
        </w:numPr>
        <w:tabs>
          <w:tab w:pos="1432" w:val="left" w:leader="none"/>
        </w:tabs>
        <w:spacing w:line="247" w:lineRule="auto" w:before="6" w:after="0"/>
        <w:ind w:left="1119" w:right="866" w:firstLine="0"/>
        <w:jc w:val="both"/>
        <w:rPr>
          <w:sz w:val="19"/>
        </w:rPr>
      </w:pPr>
      <w:r>
        <w:rPr>
          <w:sz w:val="19"/>
        </w:rPr>
        <w:t>establishing a laboratory or company, accepting a faculty position, or undertaking any other employment or appointment in a foreign country or with an entity based in, funded by, or affiliated with a foreign country if such activities</w:t>
      </w:r>
      <w:r>
        <w:rPr>
          <w:spacing w:val="23"/>
          <w:sz w:val="19"/>
        </w:rPr>
        <w:t> </w:t>
      </w:r>
      <w:r>
        <w:rPr>
          <w:sz w:val="19"/>
        </w:rPr>
        <w:t>are</w:t>
      </w:r>
      <w:r>
        <w:rPr>
          <w:spacing w:val="23"/>
          <w:sz w:val="19"/>
        </w:rPr>
        <w:t> </w:t>
      </w:r>
      <w:r>
        <w:rPr>
          <w:sz w:val="19"/>
        </w:rPr>
        <w:t>in</w:t>
      </w:r>
      <w:r>
        <w:rPr>
          <w:spacing w:val="23"/>
          <w:sz w:val="19"/>
        </w:rPr>
        <w:t> </w:t>
      </w:r>
      <w:r>
        <w:rPr>
          <w:sz w:val="19"/>
        </w:rPr>
        <w:t>violation</w:t>
      </w:r>
      <w:r>
        <w:rPr>
          <w:spacing w:val="23"/>
          <w:sz w:val="19"/>
        </w:rPr>
        <w:t> </w:t>
      </w:r>
      <w:r>
        <w:rPr>
          <w:sz w:val="19"/>
        </w:rPr>
        <w:t>of</w:t>
      </w:r>
      <w:r>
        <w:rPr>
          <w:spacing w:val="23"/>
          <w:sz w:val="19"/>
        </w:rPr>
        <w:t> </w:t>
      </w:r>
      <w:r>
        <w:rPr>
          <w:sz w:val="19"/>
        </w:rPr>
        <w:t>the</w:t>
      </w:r>
      <w:r>
        <w:rPr>
          <w:spacing w:val="23"/>
          <w:sz w:val="19"/>
        </w:rPr>
        <w:t> </w:t>
      </w:r>
      <w:r>
        <w:rPr>
          <w:sz w:val="19"/>
        </w:rPr>
        <w:t>standard</w:t>
      </w:r>
      <w:r>
        <w:rPr>
          <w:spacing w:val="23"/>
          <w:sz w:val="19"/>
        </w:rPr>
        <w:t> </w:t>
      </w:r>
      <w:r>
        <w:rPr>
          <w:sz w:val="19"/>
        </w:rPr>
        <w:t>terms</w:t>
      </w:r>
      <w:r>
        <w:rPr>
          <w:spacing w:val="23"/>
          <w:sz w:val="19"/>
        </w:rPr>
        <w:t> </w:t>
      </w:r>
      <w:r>
        <w:rPr>
          <w:sz w:val="19"/>
        </w:rPr>
        <w:t>and</w:t>
      </w:r>
      <w:r>
        <w:rPr>
          <w:spacing w:val="23"/>
          <w:sz w:val="19"/>
        </w:rPr>
        <w:t> </w:t>
      </w:r>
      <w:r>
        <w:rPr>
          <w:sz w:val="19"/>
        </w:rPr>
        <w:t>conditions</w:t>
      </w:r>
      <w:r>
        <w:rPr>
          <w:spacing w:val="23"/>
          <w:sz w:val="19"/>
        </w:rPr>
        <w:t> </w:t>
      </w:r>
      <w:r>
        <w:rPr>
          <w:sz w:val="19"/>
        </w:rPr>
        <w:t>of</w:t>
      </w:r>
      <w:r>
        <w:rPr>
          <w:spacing w:val="23"/>
          <w:sz w:val="19"/>
        </w:rPr>
        <w:t> </w:t>
      </w:r>
      <w:r>
        <w:rPr>
          <w:sz w:val="19"/>
        </w:rPr>
        <w:t>a</w:t>
      </w:r>
      <w:r>
        <w:rPr>
          <w:spacing w:val="23"/>
          <w:sz w:val="19"/>
        </w:rPr>
        <w:t> </w:t>
      </w:r>
      <w:r>
        <w:rPr>
          <w:sz w:val="19"/>
        </w:rPr>
        <w:t>Federal</w:t>
      </w:r>
      <w:r>
        <w:rPr>
          <w:spacing w:val="23"/>
          <w:sz w:val="19"/>
        </w:rPr>
        <w:t> </w:t>
      </w:r>
      <w:r>
        <w:rPr>
          <w:sz w:val="19"/>
        </w:rPr>
        <w:t>research</w:t>
      </w:r>
      <w:r>
        <w:rPr>
          <w:spacing w:val="23"/>
          <w:sz w:val="19"/>
        </w:rPr>
        <w:t> </w:t>
      </w:r>
      <w:r>
        <w:rPr>
          <w:sz w:val="19"/>
        </w:rPr>
        <w:t>and</w:t>
      </w:r>
      <w:r>
        <w:rPr>
          <w:spacing w:val="23"/>
          <w:sz w:val="19"/>
        </w:rPr>
        <w:t> </w:t>
      </w:r>
      <w:r>
        <w:rPr>
          <w:sz w:val="19"/>
        </w:rPr>
        <w:t>development</w:t>
      </w:r>
      <w:r>
        <w:rPr>
          <w:spacing w:val="23"/>
          <w:sz w:val="19"/>
        </w:rPr>
        <w:t> </w:t>
      </w:r>
      <w:r>
        <w:rPr>
          <w:sz w:val="19"/>
        </w:rPr>
        <w:t>award;</w:t>
      </w:r>
    </w:p>
    <w:p>
      <w:pPr>
        <w:pStyle w:val="ListParagraph"/>
        <w:numPr>
          <w:ilvl w:val="1"/>
          <w:numId w:val="1"/>
        </w:numPr>
        <w:tabs>
          <w:tab w:pos="1443" w:val="left" w:leader="none"/>
        </w:tabs>
        <w:spacing w:line="247" w:lineRule="auto" w:before="0" w:after="0"/>
        <w:ind w:left="1119" w:right="567" w:firstLine="0"/>
        <w:jc w:val="left"/>
        <w:rPr>
          <w:sz w:val="19"/>
        </w:rPr>
      </w:pPr>
      <w:r>
        <w:rPr>
          <w:sz w:val="19"/>
        </w:rPr>
        <w:t>being unable to terminate the foreign talent recruitment program contract or agreement except in </w:t>
      </w:r>
      <w:r>
        <w:rPr>
          <w:sz w:val="19"/>
        </w:rPr>
        <w:t>extraordinary</w:t>
      </w:r>
      <w:r>
        <w:rPr>
          <w:spacing w:val="40"/>
          <w:sz w:val="19"/>
        </w:rPr>
        <w:t> </w:t>
      </w:r>
      <w:r>
        <w:rPr>
          <w:spacing w:val="-2"/>
          <w:sz w:val="19"/>
        </w:rPr>
        <w:t>circumstances;</w:t>
      </w:r>
    </w:p>
    <w:p>
      <w:pPr>
        <w:pStyle w:val="ListParagraph"/>
        <w:numPr>
          <w:ilvl w:val="1"/>
          <w:numId w:val="1"/>
        </w:numPr>
        <w:tabs>
          <w:tab w:pos="1400" w:val="left" w:leader="none"/>
        </w:tabs>
        <w:spacing w:line="247" w:lineRule="auto" w:before="0" w:after="0"/>
        <w:ind w:left="1119" w:right="646" w:firstLine="0"/>
        <w:jc w:val="left"/>
        <w:rPr>
          <w:sz w:val="19"/>
        </w:rPr>
      </w:pPr>
      <w:r>
        <w:rPr>
          <w:sz w:val="19"/>
        </w:rPr>
        <w:t>through funding or effort related to the foreign talent recruitment program, being limited in the capacity to carry</w:t>
      </w:r>
      <w:r>
        <w:rPr>
          <w:spacing w:val="40"/>
          <w:sz w:val="19"/>
        </w:rPr>
        <w:t> </w:t>
      </w:r>
      <w:r>
        <w:rPr>
          <w:sz w:val="19"/>
        </w:rPr>
        <w:t>out a research and development award or required to engage in work that would result in substantial overlap or</w:t>
      </w:r>
      <w:r>
        <w:rPr>
          <w:spacing w:val="40"/>
          <w:sz w:val="19"/>
        </w:rPr>
        <w:t> </w:t>
      </w:r>
      <w:r>
        <w:rPr>
          <w:sz w:val="19"/>
        </w:rPr>
        <w:t>duplication with a Federal research and development award;</w:t>
      </w:r>
    </w:p>
    <w:p>
      <w:pPr>
        <w:pStyle w:val="ListParagraph"/>
        <w:numPr>
          <w:ilvl w:val="1"/>
          <w:numId w:val="1"/>
        </w:numPr>
        <w:tabs>
          <w:tab w:pos="1443" w:val="left" w:leader="none"/>
        </w:tabs>
        <w:spacing w:line="247" w:lineRule="auto" w:before="0" w:after="0"/>
        <w:ind w:left="1119" w:right="602" w:firstLine="0"/>
        <w:jc w:val="left"/>
        <w:rPr>
          <w:sz w:val="19"/>
        </w:rPr>
      </w:pPr>
      <w:r>
        <w:rPr>
          <w:sz w:val="19"/>
        </w:rPr>
        <w:t>being required to apply for and successfully receive funding from the sponsoring foreign government’s funding</w:t>
      </w:r>
      <w:r>
        <w:rPr>
          <w:spacing w:val="40"/>
          <w:sz w:val="19"/>
        </w:rPr>
        <w:t> </w:t>
      </w:r>
      <w:r>
        <w:rPr>
          <w:sz w:val="19"/>
        </w:rPr>
        <w:t>agencies with the sponsoring foreign organization as the recipient;</w:t>
      </w:r>
    </w:p>
    <w:p>
      <w:pPr>
        <w:pStyle w:val="ListParagraph"/>
        <w:numPr>
          <w:ilvl w:val="1"/>
          <w:numId w:val="1"/>
        </w:numPr>
        <w:tabs>
          <w:tab w:pos="1486" w:val="left" w:leader="none"/>
        </w:tabs>
        <w:spacing w:line="247" w:lineRule="auto" w:before="0" w:after="0"/>
        <w:ind w:left="1119" w:right="642" w:firstLine="0"/>
        <w:jc w:val="both"/>
        <w:rPr>
          <w:sz w:val="19"/>
        </w:rPr>
      </w:pPr>
      <w:r>
        <w:rPr>
          <w:sz w:val="19"/>
        </w:rPr>
        <w:t>being required to omit acknowledgment of the recipient institution with which the individual is affiliated, or the Federal research agency sponsoring the research and development award, contrary to the institutional policies </w:t>
      </w:r>
      <w:r>
        <w:rPr>
          <w:sz w:val="19"/>
        </w:rPr>
        <w:t>or standard terms and conditions of the Federal research and development award;</w:t>
      </w:r>
    </w:p>
    <w:p>
      <w:pPr>
        <w:pStyle w:val="ListParagraph"/>
        <w:numPr>
          <w:ilvl w:val="1"/>
          <w:numId w:val="1"/>
        </w:numPr>
        <w:tabs>
          <w:tab w:pos="1530" w:val="left" w:leader="none"/>
        </w:tabs>
        <w:spacing w:line="247" w:lineRule="auto" w:before="0" w:after="0"/>
        <w:ind w:left="1119" w:right="523" w:firstLine="0"/>
        <w:jc w:val="left"/>
        <w:rPr>
          <w:sz w:val="19"/>
        </w:rPr>
      </w:pPr>
      <w:r>
        <w:rPr>
          <w:sz w:val="19"/>
        </w:rPr>
        <w:t>being required to not disclose to the Federal research agency or employing institution the participation of such</w:t>
      </w:r>
      <w:r>
        <w:rPr>
          <w:spacing w:val="40"/>
          <w:sz w:val="19"/>
        </w:rPr>
        <w:t> </w:t>
      </w:r>
      <w:r>
        <w:rPr>
          <w:sz w:val="19"/>
        </w:rPr>
        <w:t>individual in such program, position, or activity; or</w:t>
      </w:r>
    </w:p>
    <w:p>
      <w:pPr>
        <w:pStyle w:val="ListParagraph"/>
        <w:numPr>
          <w:ilvl w:val="1"/>
          <w:numId w:val="1"/>
        </w:numPr>
        <w:tabs>
          <w:tab w:pos="1443" w:val="left" w:leader="none"/>
        </w:tabs>
        <w:spacing w:line="247" w:lineRule="auto" w:before="0" w:after="0"/>
        <w:ind w:left="1119" w:right="1033" w:firstLine="0"/>
        <w:jc w:val="left"/>
        <w:rPr>
          <w:b/>
          <w:sz w:val="19"/>
        </w:rPr>
      </w:pPr>
      <w:r>
        <w:rPr>
          <w:sz w:val="19"/>
        </w:rPr>
        <w:t>having a conflict of interest or conflict of commitment contrary to the standard terms and conditions of the</w:t>
      </w:r>
      <w:r>
        <w:rPr>
          <w:spacing w:val="40"/>
          <w:sz w:val="19"/>
        </w:rPr>
        <w:t> </w:t>
      </w:r>
      <w:r>
        <w:rPr>
          <w:sz w:val="19"/>
        </w:rPr>
        <w:t>Federal research and development award; </w:t>
      </w:r>
      <w:r>
        <w:rPr>
          <w:b/>
          <w:sz w:val="19"/>
        </w:rPr>
        <w:t>and</w:t>
      </w:r>
    </w:p>
    <w:p>
      <w:pPr>
        <w:pStyle w:val="ListParagraph"/>
        <w:numPr>
          <w:ilvl w:val="0"/>
          <w:numId w:val="1"/>
        </w:numPr>
        <w:tabs>
          <w:tab w:pos="832" w:val="left" w:leader="none"/>
        </w:tabs>
        <w:spacing w:line="240" w:lineRule="auto" w:before="0" w:after="0"/>
        <w:ind w:left="832" w:right="0" w:hanging="313"/>
        <w:jc w:val="left"/>
        <w:rPr>
          <w:sz w:val="19"/>
        </w:rPr>
      </w:pPr>
      <w:r>
        <w:rPr>
          <w:sz w:val="19"/>
        </w:rPr>
        <w:t>a</w:t>
      </w:r>
      <w:r>
        <w:rPr>
          <w:spacing w:val="9"/>
          <w:sz w:val="19"/>
        </w:rPr>
        <w:t> </w:t>
      </w:r>
      <w:r>
        <w:rPr>
          <w:sz w:val="19"/>
        </w:rPr>
        <w:t>program</w:t>
      </w:r>
      <w:r>
        <w:rPr>
          <w:spacing w:val="10"/>
          <w:sz w:val="19"/>
        </w:rPr>
        <w:t> </w:t>
      </w:r>
      <w:r>
        <w:rPr>
          <w:sz w:val="19"/>
        </w:rPr>
        <w:t>that</w:t>
      </w:r>
      <w:r>
        <w:rPr>
          <w:spacing w:val="9"/>
          <w:sz w:val="19"/>
        </w:rPr>
        <w:t> </w:t>
      </w:r>
      <w:r>
        <w:rPr>
          <w:sz w:val="19"/>
        </w:rPr>
        <w:t>is</w:t>
      </w:r>
      <w:r>
        <w:rPr>
          <w:spacing w:val="10"/>
          <w:sz w:val="19"/>
        </w:rPr>
        <w:t> </w:t>
      </w:r>
      <w:r>
        <w:rPr>
          <w:sz w:val="19"/>
        </w:rPr>
        <w:t>sponsored</w:t>
      </w:r>
      <w:r>
        <w:rPr>
          <w:spacing w:val="10"/>
          <w:sz w:val="19"/>
        </w:rPr>
        <w:t> </w:t>
      </w:r>
      <w:r>
        <w:rPr>
          <w:spacing w:val="-5"/>
          <w:sz w:val="19"/>
        </w:rPr>
        <w:t>by—</w:t>
      </w:r>
    </w:p>
    <w:p>
      <w:pPr>
        <w:pStyle w:val="ListParagraph"/>
        <w:numPr>
          <w:ilvl w:val="1"/>
          <w:numId w:val="1"/>
        </w:numPr>
        <w:tabs>
          <w:tab w:pos="1345" w:val="left" w:leader="none"/>
        </w:tabs>
        <w:spacing w:line="247" w:lineRule="auto" w:before="6" w:after="0"/>
        <w:ind w:left="1119" w:right="1444" w:firstLine="0"/>
        <w:jc w:val="left"/>
        <w:rPr>
          <w:sz w:val="19"/>
        </w:rPr>
      </w:pPr>
      <w:r>
        <w:rPr>
          <w:sz w:val="19"/>
        </w:rPr>
        <w:t>a foreign country of concern or an entity based in a foreign country of concern, whether or not directly</w:t>
      </w:r>
      <w:r>
        <w:rPr>
          <w:spacing w:val="40"/>
          <w:sz w:val="19"/>
        </w:rPr>
        <w:t> </w:t>
      </w:r>
      <w:r>
        <w:rPr>
          <w:sz w:val="19"/>
        </w:rPr>
        <w:t>sponsored by the foreign country of concern;</w:t>
      </w:r>
    </w:p>
    <w:p>
      <w:pPr>
        <w:pStyle w:val="ListParagraph"/>
        <w:numPr>
          <w:ilvl w:val="1"/>
          <w:numId w:val="1"/>
        </w:numPr>
        <w:tabs>
          <w:tab w:pos="1389" w:val="left" w:leader="none"/>
        </w:tabs>
        <w:spacing w:line="247" w:lineRule="auto" w:before="0" w:after="0"/>
        <w:ind w:left="1119" w:right="599" w:firstLine="0"/>
        <w:jc w:val="left"/>
        <w:rPr>
          <w:sz w:val="19"/>
        </w:rPr>
      </w:pPr>
      <w:r>
        <w:rPr>
          <w:sz w:val="19"/>
        </w:rPr>
        <w:t>an academic institution on the list developed under section 1286(c)(8) of the John S. McCain National </w:t>
      </w:r>
      <w:r>
        <w:rPr>
          <w:sz w:val="19"/>
        </w:rPr>
        <w:t>Defense</w:t>
      </w:r>
      <w:r>
        <w:rPr>
          <w:spacing w:val="40"/>
          <w:sz w:val="19"/>
        </w:rPr>
        <w:t> </w:t>
      </w:r>
      <w:r>
        <w:rPr>
          <w:sz w:val="19"/>
        </w:rPr>
        <w:t>Authorization Act for Fiscal Year 2019 (10 U.S.C. 2358 note; Public Law 115-232); or</w:t>
      </w:r>
    </w:p>
    <w:p>
      <w:pPr>
        <w:pStyle w:val="ListParagraph"/>
        <w:numPr>
          <w:ilvl w:val="1"/>
          <w:numId w:val="1"/>
        </w:numPr>
        <w:tabs>
          <w:tab w:pos="2152" w:val="left" w:leader="none"/>
        </w:tabs>
        <w:spacing w:line="264" w:lineRule="auto" w:before="0" w:after="0"/>
        <w:ind w:left="1839" w:right="814" w:firstLine="0"/>
        <w:jc w:val="left"/>
        <w:rPr>
          <w:sz w:val="19"/>
        </w:rPr>
      </w:pPr>
      <w:r>
        <w:rPr>
          <w:sz w:val="19"/>
        </w:rPr>
        <w:t>a foreign talent recruitment program on the list developed under section 1286(c)(9) of the John S. McCain National Defense</w:t>
      </w:r>
      <w:r>
        <w:rPr>
          <w:spacing w:val="-2"/>
          <w:sz w:val="19"/>
        </w:rPr>
        <w:t> </w:t>
      </w:r>
      <w:r>
        <w:rPr>
          <w:sz w:val="19"/>
        </w:rPr>
        <w:t>Authorization</w:t>
      </w:r>
      <w:r>
        <w:rPr>
          <w:spacing w:val="-2"/>
          <w:sz w:val="19"/>
        </w:rPr>
        <w:t> </w:t>
      </w:r>
      <w:r>
        <w:rPr>
          <w:sz w:val="19"/>
        </w:rPr>
        <w:t>Act for Fiscal Year 2019 (10 U.S.C. 2358 note; Public Law 115-</w:t>
      </w:r>
      <w:r>
        <w:rPr>
          <w:spacing w:val="-2"/>
          <w:sz w:val="19"/>
        </w:rPr>
        <w:t>232).</w:t>
      </w:r>
    </w:p>
    <w:p>
      <w:pPr>
        <w:pStyle w:val="BodyText"/>
        <w:spacing w:before="155"/>
        <w:ind w:left="0"/>
      </w:pPr>
    </w:p>
    <w:p>
      <w:pPr>
        <w:pStyle w:val="Heading2"/>
      </w:pPr>
      <w:r>
        <w:rPr/>
        <w:t>For</w:t>
      </w:r>
      <w:r>
        <w:rPr>
          <w:spacing w:val="9"/>
        </w:rPr>
        <w:t> </w:t>
      </w:r>
      <w:r>
        <w:rPr/>
        <w:t>purposes</w:t>
      </w:r>
      <w:r>
        <w:rPr>
          <w:spacing w:val="9"/>
        </w:rPr>
        <w:t> </w:t>
      </w:r>
      <w:r>
        <w:rPr/>
        <w:t>of</w:t>
      </w:r>
      <w:r>
        <w:rPr>
          <w:spacing w:val="9"/>
        </w:rPr>
        <w:t> </w:t>
      </w:r>
      <w:r>
        <w:rPr/>
        <w:t>(B)</w:t>
      </w:r>
      <w:r>
        <w:rPr>
          <w:spacing w:val="9"/>
        </w:rPr>
        <w:t> </w:t>
      </w:r>
      <w:r>
        <w:rPr>
          <w:spacing w:val="-2"/>
        </w:rPr>
        <w:t>above:</w:t>
      </w:r>
    </w:p>
    <w:p>
      <w:pPr>
        <w:pStyle w:val="BodyText"/>
        <w:spacing w:before="178"/>
        <w:ind w:left="0"/>
        <w:rPr>
          <w:b/>
        </w:rPr>
      </w:pPr>
    </w:p>
    <w:p>
      <w:pPr>
        <w:pStyle w:val="BodyText"/>
        <w:spacing w:line="247" w:lineRule="auto"/>
        <w:ind w:right="730"/>
      </w:pPr>
      <w:r>
        <w:rPr>
          <w:b/>
          <w:color w:val="52253B"/>
          <w:u w:val="single" w:color="000000"/>
        </w:rPr>
        <w:t>Fore</w:t>
      </w:r>
      <w:r>
        <w:rPr>
          <w:b/>
          <w:color w:val="52253B"/>
          <w:u w:val="none"/>
        </w:rPr>
        <w:t>i</w:t>
      </w:r>
      <w:r>
        <w:rPr>
          <w:b/>
          <w:color w:val="52253B"/>
          <w:u w:val="single" w:color="000000"/>
        </w:rPr>
        <w:t>gn Countr</w:t>
      </w:r>
      <w:r>
        <w:rPr>
          <w:b/>
          <w:color w:val="52253B"/>
          <w:u w:val="none"/>
        </w:rPr>
        <w:t>y</w:t>
      </w:r>
      <w:r>
        <w:rPr>
          <w:b/>
          <w:color w:val="52253B"/>
          <w:spacing w:val="40"/>
          <w:u w:val="single" w:color="000000"/>
        </w:rPr>
        <w:t> </w:t>
      </w:r>
      <w:r>
        <w:rPr>
          <w:b/>
          <w:color w:val="52253B"/>
          <w:u w:val="single" w:color="000000"/>
        </w:rPr>
        <w:t>of Concern</w:t>
      </w:r>
      <w:r>
        <w:rPr>
          <w:b/>
          <w:color w:val="52253B"/>
          <w:u w:val="none"/>
        </w:rPr>
        <w:t>: </w:t>
      </w:r>
      <w:r>
        <w:rPr>
          <w:u w:val="none"/>
        </w:rPr>
        <w:t>The People’s Republic of China, the Democratic Republic of Korea, the </w:t>
      </w:r>
      <w:r>
        <w:rPr>
          <w:u w:val="none"/>
        </w:rPr>
        <w:t>Russian Federation, and the Islamic Republic of Iran</w:t>
      </w:r>
    </w:p>
    <w:p>
      <w:pPr>
        <w:pStyle w:val="BodyText"/>
        <w:spacing w:before="7"/>
        <w:ind w:left="0"/>
      </w:pPr>
    </w:p>
    <w:p>
      <w:pPr>
        <w:pStyle w:val="BodyText"/>
        <w:spacing w:line="247" w:lineRule="auto"/>
        <w:ind w:right="663"/>
      </w:pPr>
      <w:r>
        <w:rPr>
          <w:b/>
          <w:color w:val="52253B"/>
          <w:u w:val="single" w:color="A64D78"/>
        </w:rPr>
        <w:t>Academic Institution and Fore</w:t>
      </w:r>
      <w:r>
        <w:rPr>
          <w:b/>
          <w:color w:val="52253B"/>
          <w:u w:val="none"/>
        </w:rPr>
        <w:t>i</w:t>
      </w:r>
      <w:r>
        <w:rPr>
          <w:b/>
          <w:color w:val="52253B"/>
          <w:u w:val="single" w:color="A64D78"/>
        </w:rPr>
        <w:t>gn Talent Recruitment Program Lists:</w:t>
      </w:r>
      <w:r>
        <w:rPr>
          <w:b/>
          <w:color w:val="52253B"/>
          <w:u w:val="none"/>
        </w:rPr>
        <w:t> </w:t>
      </w:r>
      <w:r>
        <w:rPr>
          <w:u w:val="none"/>
        </w:rPr>
        <w:t>Part 3: Introduction to FY22 Lists Published </w:t>
      </w:r>
      <w:r>
        <w:rPr>
          <w:u w:val="none"/>
        </w:rPr>
        <w:t>in</w:t>
      </w:r>
      <w:r>
        <w:rPr>
          <w:spacing w:val="40"/>
          <w:u w:val="none"/>
        </w:rPr>
        <w:t> </w:t>
      </w:r>
      <w:r>
        <w:rPr>
          <w:u w:val="none"/>
        </w:rPr>
        <w:t>Response to Section 1286 of the John S. McCain National Defense Authorization Act for Fiscal Year 2019 (Public Law</w:t>
      </w:r>
      <w:r>
        <w:rPr>
          <w:spacing w:val="40"/>
          <w:u w:val="none"/>
        </w:rPr>
        <w:t> </w:t>
      </w:r>
      <w:hyperlink r:id="rId12">
        <w:r>
          <w:rPr>
            <w:u w:val="none"/>
          </w:rPr>
          <w:t>115-232) as amended. </w:t>
        </w:r>
        <w:r>
          <w:rPr>
            <w:color w:val="0462C1"/>
            <w:u w:val="none"/>
          </w:rPr>
          <w:t>Pages 17-21 of Countering Unwanted Foreign Influence in Department-Funded Research at</w:t>
        </w:r>
        <w:r>
          <w:rPr>
            <w:color w:val="0462C1"/>
            <w:spacing w:val="40"/>
            <w:u w:val="none"/>
          </w:rPr>
          <w:t> </w:t>
        </w:r>
        <w:r>
          <w:rPr>
            <w:color w:val="0462C1"/>
            <w:u w:val="none"/>
          </w:rPr>
          <w:t>Institutions of Higher Education (Department of Defense, June 29, 2023)</w:t>
        </w:r>
      </w:hyperlink>
    </w:p>
    <w:p>
      <w:pPr>
        <w:pStyle w:val="BodyText"/>
        <w:spacing w:line="450" w:lineRule="atLeast" w:before="173"/>
        <w:ind w:right="6595"/>
      </w:pPr>
      <w:r>
        <w:rPr/>
        <w:t>Please let me know if you have any </w:t>
      </w:r>
      <w:r>
        <w:rPr/>
        <w:t>questions. Thank you,</w:t>
      </w:r>
    </w:p>
    <w:p>
      <w:pPr>
        <w:pStyle w:val="BodyText"/>
        <w:spacing w:before="7"/>
      </w:pPr>
      <w:r>
        <w:rPr>
          <w:spacing w:val="-2"/>
        </w:rPr>
        <w:t>Susan</w:t>
      </w:r>
    </w:p>
    <w:p>
      <w:pPr>
        <w:pStyle w:val="BodyText"/>
        <w:spacing w:after="0"/>
        <w:sectPr>
          <w:pgSz w:w="12240" w:h="15840"/>
          <w:pgMar w:header="274" w:footer="285" w:top="680" w:bottom="480" w:left="360" w:right="360"/>
        </w:sectPr>
      </w:pPr>
    </w:p>
    <w:p>
      <w:pPr>
        <w:pStyle w:val="BodyText"/>
        <w:spacing w:before="116"/>
      </w:pPr>
      <w:r>
        <w:rPr/>
        <w:t>Website:</w:t>
      </w:r>
      <w:r>
        <w:rPr>
          <w:spacing w:val="13"/>
        </w:rPr>
        <w:t> </w:t>
      </w:r>
      <w:hyperlink r:id="rId9">
        <w:r>
          <w:rPr>
            <w:color w:val="541A8B"/>
          </w:rPr>
          <w:t>SBU</w:t>
        </w:r>
        <w:r>
          <w:rPr>
            <w:color w:val="541A8B"/>
            <w:spacing w:val="13"/>
          </w:rPr>
          <w:t> </w:t>
        </w:r>
        <w:r>
          <w:rPr>
            <w:color w:val="541A8B"/>
          </w:rPr>
          <w:t>Research</w:t>
        </w:r>
        <w:r>
          <w:rPr>
            <w:color w:val="541A8B"/>
            <w:spacing w:val="13"/>
          </w:rPr>
          <w:t> </w:t>
        </w:r>
        <w:r>
          <w:rPr>
            <w:color w:val="541A8B"/>
          </w:rPr>
          <w:t>Security</w:t>
        </w:r>
        <w:r>
          <w:rPr>
            <w:color w:val="541A8B"/>
            <w:spacing w:val="13"/>
          </w:rPr>
          <w:t> </w:t>
        </w:r>
        <w:r>
          <w:rPr>
            <w:color w:val="541A8B"/>
            <w:spacing w:val="-2"/>
          </w:rPr>
          <w:t>Program</w:t>
        </w:r>
      </w:hyperlink>
    </w:p>
    <w:p>
      <w:pPr>
        <w:pStyle w:val="BodyText"/>
        <w:spacing w:before="7"/>
      </w:pPr>
      <w:r>
        <w:rPr/>
        <w:t>Email:</w:t>
      </w:r>
      <w:r>
        <w:rPr>
          <w:spacing w:val="64"/>
        </w:rPr>
        <w:t> </w:t>
      </w:r>
      <w:hyperlink r:id="rId11">
        <w:r>
          <w:rPr>
            <w:color w:val="1154CC"/>
            <w:spacing w:val="-2"/>
          </w:rPr>
          <w:t>ovpr_researchsecurity_admin@stonybrook.edu</w:t>
        </w:r>
      </w:hyperlink>
    </w:p>
    <w:p>
      <w:pPr>
        <w:pStyle w:val="BodyText"/>
        <w:spacing w:before="13"/>
        <w:ind w:left="0"/>
      </w:pPr>
    </w:p>
    <w:p>
      <w:pPr>
        <w:spacing w:before="0"/>
        <w:ind w:left="519" w:right="0" w:firstLine="0"/>
        <w:jc w:val="left"/>
        <w:rPr>
          <w:sz w:val="19"/>
        </w:rPr>
      </w:pPr>
      <w:r>
        <w:rPr>
          <w:color w:val="333333"/>
          <w:sz w:val="19"/>
        </w:rPr>
        <w:t>-</w:t>
      </w:r>
      <w:r>
        <w:rPr>
          <w:color w:val="333333"/>
          <w:spacing w:val="-10"/>
          <w:sz w:val="19"/>
        </w:rPr>
        <w:t>-</w:t>
      </w:r>
    </w:p>
    <w:p>
      <w:pPr>
        <w:pStyle w:val="BodyText"/>
        <w:spacing w:before="7"/>
      </w:pPr>
      <w:r>
        <w:rPr/>
        <w:t>Susan</w:t>
      </w:r>
      <w:r>
        <w:rPr>
          <w:spacing w:val="11"/>
        </w:rPr>
        <w:t> </w:t>
      </w:r>
      <w:r>
        <w:rPr>
          <w:spacing w:val="-2"/>
        </w:rPr>
        <w:t>Gasparo</w:t>
      </w:r>
    </w:p>
    <w:p>
      <w:pPr>
        <w:pStyle w:val="BodyText"/>
        <w:spacing w:before="6"/>
      </w:pPr>
      <w:r>
        <w:rPr/>
        <w:t>Director</w:t>
      </w:r>
      <w:r>
        <w:rPr>
          <w:spacing w:val="11"/>
        </w:rPr>
        <w:t> </w:t>
      </w:r>
      <w:r>
        <w:rPr/>
        <w:t>of</w:t>
      </w:r>
      <w:r>
        <w:rPr>
          <w:spacing w:val="12"/>
        </w:rPr>
        <w:t> </w:t>
      </w:r>
      <w:r>
        <w:rPr/>
        <w:t>Research</w:t>
      </w:r>
      <w:r>
        <w:rPr>
          <w:spacing w:val="12"/>
        </w:rPr>
        <w:t> </w:t>
      </w:r>
      <w:r>
        <w:rPr>
          <w:spacing w:val="-2"/>
        </w:rPr>
        <w:t>Security</w:t>
      </w:r>
    </w:p>
    <w:p>
      <w:pPr>
        <w:pStyle w:val="BodyText"/>
        <w:spacing w:line="247" w:lineRule="auto" w:before="7"/>
        <w:ind w:right="7389"/>
      </w:pPr>
      <w:r>
        <w:rPr/>
        <w:t>Office of the Vice-President for </w:t>
      </w:r>
      <w:r>
        <w:rPr/>
        <w:t>Research Frank Melville Jr. Memorial Library</w:t>
      </w:r>
    </w:p>
    <w:p>
      <w:pPr>
        <w:pStyle w:val="BodyText"/>
        <w:spacing w:line="247" w:lineRule="auto"/>
        <w:ind w:right="7389"/>
      </w:pPr>
      <w:r>
        <w:rPr/>
        <w:t>Stony Brook, New</w:t>
      </w:r>
      <w:r>
        <w:rPr>
          <w:spacing w:val="-2"/>
        </w:rPr>
        <w:t> </w:t>
      </w:r>
      <w:r>
        <w:rPr/>
        <w:t>York 11794-</w:t>
      </w:r>
      <w:r>
        <w:rPr/>
        <w:t>3368 Phone:</w:t>
      </w:r>
      <w:r>
        <w:rPr>
          <w:spacing w:val="40"/>
        </w:rPr>
        <w:t> </w:t>
      </w:r>
      <w:r>
        <w:rPr/>
        <w:t>631-632-1954</w:t>
      </w:r>
    </w:p>
    <w:sectPr>
      <w:pgSz w:w="12240" w:h="15840"/>
      <w:pgMar w:header="274" w:footer="285" w:top="680" w:bottom="4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18208">
              <wp:simplePos x="0" y="0"/>
              <wp:positionH relativeFrom="page">
                <wp:posOffset>323254</wp:posOffset>
              </wp:positionH>
              <wp:positionV relativeFrom="page">
                <wp:posOffset>9737824</wp:posOffset>
              </wp:positionV>
              <wp:extent cx="7125970"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7125970" cy="139065"/>
                      </a:xfrm>
                      <a:prstGeom prst="rect">
                        <a:avLst/>
                      </a:prstGeom>
                    </wps:spPr>
                    <wps:txbx>
                      <w:txbxContent>
                        <w:p>
                          <w:pPr>
                            <w:spacing w:before="14"/>
                            <w:ind w:left="20" w:right="0" w:firstLine="0"/>
                            <w:jc w:val="left"/>
                            <w:rPr>
                              <w:sz w:val="16"/>
                            </w:rPr>
                          </w:pPr>
                          <w:hyperlink r:id="rId1">
                            <w:r>
                              <w:rPr>
                                <w:sz w:val="16"/>
                              </w:rPr>
                              <w:t>https://mail.google.com/mail/u/0/?ik=f934abb226&amp;view=pt&amp;search=all&amp;permthid=thread-a:r8965279257837715728%7Cmsg-a:r483894091371374850</w:t>
                            </w:r>
                          </w:hyperlink>
                          <w:r>
                            <w:rPr>
                              <w:sz w:val="16"/>
                            </w:rPr>
                            <w:t>…</w:t>
                          </w:r>
                          <w:r>
                            <w:rPr>
                              <w:spacing w:val="39"/>
                              <w:sz w:val="16"/>
                            </w:rPr>
                            <w:t>  </w:t>
                          </w:r>
                          <w:r>
                            <w:rPr>
                              <w:spacing w:val="-5"/>
                              <w:sz w:val="16"/>
                            </w:rPr>
                            <w:fldChar w:fldCharType="begin"/>
                          </w:r>
                          <w:r>
                            <w:rPr>
                              <w:spacing w:val="-5"/>
                              <w:sz w:val="16"/>
                            </w:rPr>
                            <w:instrText> PAGE </w:instrText>
                          </w:r>
                          <w:r>
                            <w:rPr>
                              <w:spacing w:val="-5"/>
                              <w:sz w:val="16"/>
                            </w:rPr>
                            <w:fldChar w:fldCharType="separate"/>
                          </w:r>
                          <w:r>
                            <w:rPr>
                              <w:spacing w:val="-5"/>
                              <w:sz w:val="16"/>
                            </w:rPr>
                            <w:t>1</w:t>
                          </w:r>
                          <w:r>
                            <w:rPr>
                              <w:spacing w:val="-5"/>
                              <w:sz w:val="16"/>
                            </w:rPr>
                            <w:fldChar w:fldCharType="end"/>
                          </w:r>
                          <w:r>
                            <w:rPr>
                              <w:spacing w:val="-5"/>
                              <w:sz w:val="16"/>
                            </w:rPr>
                            <w:t>/</w:t>
                          </w:r>
                          <w:r>
                            <w:rPr>
                              <w:spacing w:val="-5"/>
                              <w:sz w:val="16"/>
                            </w:rPr>
                            <w:fldChar w:fldCharType="begin"/>
                          </w:r>
                          <w:r>
                            <w:rPr>
                              <w:spacing w:val="-5"/>
                              <w:sz w:val="16"/>
                            </w:rPr>
                            <w:instrText> NUMPAGES </w:instrText>
                          </w:r>
                          <w:r>
                            <w:rPr>
                              <w:spacing w:val="-5"/>
                              <w:sz w:val="16"/>
                            </w:rPr>
                            <w:fldChar w:fldCharType="separate"/>
                          </w:r>
                          <w:r>
                            <w:rPr>
                              <w:spacing w:val="-5"/>
                              <w:sz w:val="16"/>
                            </w:rPr>
                            <w:t>3</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25.453127pt;margin-top:766.757813pt;width:561.1pt;height:10.95pt;mso-position-horizontal-relative:page;mso-position-vertical-relative:page;z-index:-15798272" type="#_x0000_t202" id="docshape3" filled="false" stroked="false">
              <v:textbox inset="0,0,0,0">
                <w:txbxContent>
                  <w:p>
                    <w:pPr>
                      <w:spacing w:before="14"/>
                      <w:ind w:left="20" w:right="0" w:firstLine="0"/>
                      <w:jc w:val="left"/>
                      <w:rPr>
                        <w:sz w:val="16"/>
                      </w:rPr>
                    </w:pPr>
                    <w:hyperlink r:id="rId1">
                      <w:r>
                        <w:rPr>
                          <w:sz w:val="16"/>
                        </w:rPr>
                        <w:t>https://mail.google.com/mail/u/0/?ik=f934abb226&amp;view=pt&amp;search=all&amp;permthid=thread-a:r8965279257837715728%7Cmsg-a:r483894091371374850</w:t>
                      </w:r>
                    </w:hyperlink>
                    <w:r>
                      <w:rPr>
                        <w:sz w:val="16"/>
                      </w:rPr>
                      <w:t>…</w:t>
                    </w:r>
                    <w:r>
                      <w:rPr>
                        <w:spacing w:val="39"/>
                        <w:sz w:val="16"/>
                      </w:rPr>
                      <w:t>  </w:t>
                    </w:r>
                    <w:r>
                      <w:rPr>
                        <w:spacing w:val="-5"/>
                        <w:sz w:val="16"/>
                      </w:rPr>
                      <w:fldChar w:fldCharType="begin"/>
                    </w:r>
                    <w:r>
                      <w:rPr>
                        <w:spacing w:val="-5"/>
                        <w:sz w:val="16"/>
                      </w:rPr>
                      <w:instrText> PAGE </w:instrText>
                    </w:r>
                    <w:r>
                      <w:rPr>
                        <w:spacing w:val="-5"/>
                        <w:sz w:val="16"/>
                      </w:rPr>
                      <w:fldChar w:fldCharType="separate"/>
                    </w:r>
                    <w:r>
                      <w:rPr>
                        <w:spacing w:val="-5"/>
                        <w:sz w:val="16"/>
                      </w:rPr>
                      <w:t>1</w:t>
                    </w:r>
                    <w:r>
                      <w:rPr>
                        <w:spacing w:val="-5"/>
                        <w:sz w:val="16"/>
                      </w:rPr>
                      <w:fldChar w:fldCharType="end"/>
                    </w:r>
                    <w:r>
                      <w:rPr>
                        <w:spacing w:val="-5"/>
                        <w:sz w:val="16"/>
                      </w:rPr>
                      <w:t>/</w:t>
                    </w:r>
                    <w:r>
                      <w:rPr>
                        <w:spacing w:val="-5"/>
                        <w:sz w:val="16"/>
                      </w:rPr>
                      <w:fldChar w:fldCharType="begin"/>
                    </w:r>
                    <w:r>
                      <w:rPr>
                        <w:spacing w:val="-5"/>
                        <w:sz w:val="16"/>
                      </w:rPr>
                      <w:instrText> NUMPAGES </w:instrText>
                    </w:r>
                    <w:r>
                      <w:rPr>
                        <w:spacing w:val="-5"/>
                        <w:sz w:val="16"/>
                      </w:rPr>
                      <w:fldChar w:fldCharType="separate"/>
                    </w:r>
                    <w:r>
                      <w:rPr>
                        <w:spacing w:val="-5"/>
                        <w:sz w:val="16"/>
                      </w:rPr>
                      <w:t>3</w:t>
                    </w:r>
                    <w:r>
                      <w:rPr>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17184">
              <wp:simplePos x="0" y="0"/>
              <wp:positionH relativeFrom="page">
                <wp:posOffset>323254</wp:posOffset>
              </wp:positionH>
              <wp:positionV relativeFrom="page">
                <wp:posOffset>174724</wp:posOffset>
              </wp:positionV>
              <wp:extent cx="737235"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37235" cy="139065"/>
                      </a:xfrm>
                      <a:prstGeom prst="rect">
                        <a:avLst/>
                      </a:prstGeom>
                    </wps:spPr>
                    <wps:txbx>
                      <w:txbxContent>
                        <w:p>
                          <w:pPr>
                            <w:spacing w:before="14"/>
                            <w:ind w:left="20" w:right="0" w:firstLine="0"/>
                            <w:jc w:val="left"/>
                            <w:rPr>
                              <w:sz w:val="16"/>
                            </w:rPr>
                          </w:pPr>
                          <w:r>
                            <w:rPr>
                              <w:sz w:val="16"/>
                            </w:rPr>
                            <w:t>8/9/23, 8:21</w:t>
                          </w:r>
                          <w:r>
                            <w:rPr>
                              <w:spacing w:val="-9"/>
                              <w:sz w:val="16"/>
                            </w:rPr>
                            <w:t> </w:t>
                          </w:r>
                          <w:r>
                            <w:rPr>
                              <w:spacing w:val="-5"/>
                              <w:sz w:val="16"/>
                            </w:rPr>
                            <w:t>AM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453127pt;margin-top:13.757813pt;width:58.05pt;height:10.95pt;mso-position-horizontal-relative:page;mso-position-vertical-relative:page;z-index:-15799296" type="#_x0000_t202" id="docshape1" filled="false" stroked="false">
              <v:textbox inset="0,0,0,0">
                <w:txbxContent>
                  <w:p>
                    <w:pPr>
                      <w:spacing w:before="14"/>
                      <w:ind w:left="20" w:right="0" w:firstLine="0"/>
                      <w:jc w:val="left"/>
                      <w:rPr>
                        <w:sz w:val="16"/>
                      </w:rPr>
                    </w:pPr>
                    <w:r>
                      <w:rPr>
                        <w:sz w:val="16"/>
                      </w:rPr>
                      <w:t>8/9/23, 8:21</w:t>
                    </w:r>
                    <w:r>
                      <w:rPr>
                        <w:spacing w:val="-9"/>
                        <w:sz w:val="16"/>
                      </w:rPr>
                      <w:t> </w:t>
                    </w:r>
                    <w:r>
                      <w:rPr>
                        <w:spacing w:val="-5"/>
                        <w:sz w:val="16"/>
                      </w:rPr>
                      <w:t>AM</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7696">
              <wp:simplePos x="0" y="0"/>
              <wp:positionH relativeFrom="page">
                <wp:posOffset>2089150</wp:posOffset>
              </wp:positionH>
              <wp:positionV relativeFrom="page">
                <wp:posOffset>174724</wp:posOffset>
              </wp:positionV>
              <wp:extent cx="468947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689475" cy="139065"/>
                      </a:xfrm>
                      <a:prstGeom prst="rect">
                        <a:avLst/>
                      </a:prstGeom>
                    </wps:spPr>
                    <wps:txbx>
                      <w:txbxContent>
                        <w:p>
                          <w:pPr>
                            <w:spacing w:before="14"/>
                            <w:ind w:left="20" w:right="0" w:firstLine="0"/>
                            <w:jc w:val="left"/>
                            <w:rPr>
                              <w:sz w:val="16"/>
                            </w:rPr>
                          </w:pPr>
                          <w:r>
                            <w:rPr>
                              <w:sz w:val="16"/>
                            </w:rPr>
                            <w:t>Stony Brook University Mail - Fwd: Please Distribute: Federal Government Updates - Research </w:t>
                          </w:r>
                          <w:r>
                            <w:rPr>
                              <w:spacing w:val="-2"/>
                              <w:sz w:val="16"/>
                            </w:rPr>
                            <w:t>Security</w:t>
                          </w:r>
                        </w:p>
                      </w:txbxContent>
                    </wps:txbx>
                    <wps:bodyPr wrap="square" lIns="0" tIns="0" rIns="0" bIns="0" rtlCol="0">
                      <a:noAutofit/>
                    </wps:bodyPr>
                  </wps:wsp>
                </a:graphicData>
              </a:graphic>
            </wp:anchor>
          </w:drawing>
        </mc:Choice>
        <mc:Fallback>
          <w:pict>
            <v:shape style="position:absolute;margin-left:164.5pt;margin-top:13.757813pt;width:369.25pt;height:10.95pt;mso-position-horizontal-relative:page;mso-position-vertical-relative:page;z-index:-15798784" type="#_x0000_t202" id="docshape2" filled="false" stroked="false">
              <v:textbox inset="0,0,0,0">
                <w:txbxContent>
                  <w:p>
                    <w:pPr>
                      <w:spacing w:before="14"/>
                      <w:ind w:left="20" w:right="0" w:firstLine="0"/>
                      <w:jc w:val="left"/>
                      <w:rPr>
                        <w:sz w:val="16"/>
                      </w:rPr>
                    </w:pPr>
                    <w:r>
                      <w:rPr>
                        <w:sz w:val="16"/>
                      </w:rPr>
                      <w:t>Stony Brook University Mail - Fwd: Please Distribute: Federal Government Updates - Research </w:t>
                    </w:r>
                    <w:r>
                      <w:rPr>
                        <w:spacing w:val="-2"/>
                        <w:sz w:val="16"/>
                      </w:rPr>
                      <w:t>Security</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520" w:hanging="315"/>
        <w:jc w:val="left"/>
      </w:pPr>
      <w:rPr>
        <w:rFonts w:hint="default" w:ascii="Arial" w:hAnsi="Arial" w:eastAsia="Arial" w:cs="Arial"/>
        <w:b w:val="0"/>
        <w:bCs w:val="0"/>
        <w:i w:val="0"/>
        <w:iCs w:val="0"/>
        <w:spacing w:val="0"/>
        <w:w w:val="102"/>
        <w:sz w:val="19"/>
        <w:szCs w:val="19"/>
        <w:lang w:val="en-US" w:eastAsia="en-US" w:bidi="ar-SA"/>
      </w:rPr>
    </w:lvl>
    <w:lvl w:ilvl="1">
      <w:start w:val="1"/>
      <w:numFmt w:val="lowerRoman"/>
      <w:lvlText w:val="(%2)"/>
      <w:lvlJc w:val="left"/>
      <w:pPr>
        <w:ind w:left="1120" w:hanging="228"/>
        <w:jc w:val="left"/>
      </w:pPr>
      <w:rPr>
        <w:rFonts w:hint="default" w:ascii="Arial" w:hAnsi="Arial" w:eastAsia="Arial" w:cs="Arial"/>
        <w:b w:val="0"/>
        <w:bCs w:val="0"/>
        <w:i w:val="0"/>
        <w:iCs w:val="0"/>
        <w:spacing w:val="0"/>
        <w:w w:val="102"/>
        <w:sz w:val="19"/>
        <w:szCs w:val="19"/>
        <w:lang w:val="en-US" w:eastAsia="en-US" w:bidi="ar-SA"/>
      </w:rPr>
    </w:lvl>
    <w:lvl w:ilvl="2">
      <w:start w:val="0"/>
      <w:numFmt w:val="bullet"/>
      <w:lvlText w:val="•"/>
      <w:lvlJc w:val="left"/>
      <w:pPr>
        <w:ind w:left="2275" w:hanging="228"/>
      </w:pPr>
      <w:rPr>
        <w:rFonts w:hint="default"/>
        <w:lang w:val="en-US" w:eastAsia="en-US" w:bidi="ar-SA"/>
      </w:rPr>
    </w:lvl>
    <w:lvl w:ilvl="3">
      <w:start w:val="0"/>
      <w:numFmt w:val="bullet"/>
      <w:lvlText w:val="•"/>
      <w:lvlJc w:val="left"/>
      <w:pPr>
        <w:ind w:left="3431" w:hanging="228"/>
      </w:pPr>
      <w:rPr>
        <w:rFonts w:hint="default"/>
        <w:lang w:val="en-US" w:eastAsia="en-US" w:bidi="ar-SA"/>
      </w:rPr>
    </w:lvl>
    <w:lvl w:ilvl="4">
      <w:start w:val="0"/>
      <w:numFmt w:val="bullet"/>
      <w:lvlText w:val="•"/>
      <w:lvlJc w:val="left"/>
      <w:pPr>
        <w:ind w:left="4586" w:hanging="228"/>
      </w:pPr>
      <w:rPr>
        <w:rFonts w:hint="default"/>
        <w:lang w:val="en-US" w:eastAsia="en-US" w:bidi="ar-SA"/>
      </w:rPr>
    </w:lvl>
    <w:lvl w:ilvl="5">
      <w:start w:val="0"/>
      <w:numFmt w:val="bullet"/>
      <w:lvlText w:val="•"/>
      <w:lvlJc w:val="left"/>
      <w:pPr>
        <w:ind w:left="5742" w:hanging="228"/>
      </w:pPr>
      <w:rPr>
        <w:rFonts w:hint="default"/>
        <w:lang w:val="en-US" w:eastAsia="en-US" w:bidi="ar-SA"/>
      </w:rPr>
    </w:lvl>
    <w:lvl w:ilvl="6">
      <w:start w:val="0"/>
      <w:numFmt w:val="bullet"/>
      <w:lvlText w:val="•"/>
      <w:lvlJc w:val="left"/>
      <w:pPr>
        <w:ind w:left="6897" w:hanging="228"/>
      </w:pPr>
      <w:rPr>
        <w:rFonts w:hint="default"/>
        <w:lang w:val="en-US" w:eastAsia="en-US" w:bidi="ar-SA"/>
      </w:rPr>
    </w:lvl>
    <w:lvl w:ilvl="7">
      <w:start w:val="0"/>
      <w:numFmt w:val="bullet"/>
      <w:lvlText w:val="•"/>
      <w:lvlJc w:val="left"/>
      <w:pPr>
        <w:ind w:left="8053" w:hanging="228"/>
      </w:pPr>
      <w:rPr>
        <w:rFonts w:hint="default"/>
        <w:lang w:val="en-US" w:eastAsia="en-US" w:bidi="ar-SA"/>
      </w:rPr>
    </w:lvl>
    <w:lvl w:ilvl="8">
      <w:start w:val="0"/>
      <w:numFmt w:val="bullet"/>
      <w:lvlText w:val="•"/>
      <w:lvlJc w:val="left"/>
      <w:pPr>
        <w:ind w:left="9208" w:hanging="22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519"/>
    </w:pPr>
    <w:rPr>
      <w:rFonts w:ascii="Arial" w:hAnsi="Arial" w:eastAsia="Arial" w:cs="Arial"/>
      <w:sz w:val="19"/>
      <w:szCs w:val="19"/>
      <w:lang w:val="en-US" w:eastAsia="en-US" w:bidi="ar-SA"/>
    </w:rPr>
  </w:style>
  <w:style w:styleId="Heading1" w:type="paragraph">
    <w:name w:val="Heading 1"/>
    <w:basedOn w:val="Normal"/>
    <w:uiPriority w:val="1"/>
    <w:qFormat/>
    <w:pPr>
      <w:spacing w:before="76"/>
      <w:ind w:left="339"/>
      <w:outlineLvl w:val="1"/>
    </w:pPr>
    <w:rPr>
      <w:rFonts w:ascii="Arial" w:hAnsi="Arial" w:eastAsia="Arial" w:cs="Arial"/>
      <w:b/>
      <w:bCs/>
      <w:sz w:val="27"/>
      <w:szCs w:val="27"/>
      <w:lang w:val="en-US" w:eastAsia="en-US" w:bidi="ar-SA"/>
    </w:rPr>
  </w:style>
  <w:style w:styleId="Heading2" w:type="paragraph">
    <w:name w:val="Heading 2"/>
    <w:basedOn w:val="Normal"/>
    <w:uiPriority w:val="1"/>
    <w:qFormat/>
    <w:pPr>
      <w:ind w:left="519"/>
      <w:outlineLvl w:val="2"/>
    </w:pPr>
    <w:rPr>
      <w:rFonts w:ascii="Arial" w:hAnsi="Arial" w:eastAsia="Arial" w:cs="Arial"/>
      <w:b/>
      <w:bCs/>
      <w:sz w:val="19"/>
      <w:szCs w:val="19"/>
      <w:lang w:val="en-US" w:eastAsia="en-US" w:bidi="ar-SA"/>
    </w:rPr>
  </w:style>
  <w:style w:styleId="ListParagraph" w:type="paragraph">
    <w:name w:val="List Paragraph"/>
    <w:basedOn w:val="Normal"/>
    <w:uiPriority w:val="1"/>
    <w:qFormat/>
    <w:pPr>
      <w:ind w:left="111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mailto:susan.gasparo@stonybrook.edu" TargetMode="External"/><Relationship Id="rId9" Type="http://schemas.openxmlformats.org/officeDocument/2006/relationships/hyperlink" Target="https://www.stonybrook.edu/commcms/research_security/index.php" TargetMode="External"/><Relationship Id="rId10" Type="http://schemas.openxmlformats.org/officeDocument/2006/relationships/hyperlink" Target="https://www.stonybrook.edu/commcms/provost/faculty/handbook/employment/approval_of_appointments_at_other_institutions" TargetMode="External"/><Relationship Id="rId11" Type="http://schemas.openxmlformats.org/officeDocument/2006/relationships/hyperlink" Target="mailto:ovpr_researchsecurity_admin@stonybrook.edu" TargetMode="External"/><Relationship Id="rId12" Type="http://schemas.openxmlformats.org/officeDocument/2006/relationships/hyperlink" Target="https://media.defense.gov/2023/Jun/29/2003251160/-1/-1/1/COUNTERING-UNWANTED-INFLUENCE-IN-DEPARTMENT-FUNDED-RESEARCH-AT-INSTITUTIONS-OF-HIGHER-EDUCATION.PDF?et_rid=900087807&amp;et_cid=4802420"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mail.google.com/mail/u/0/?ik=f934abb226&amp;view=pt&amp;search=all&amp;permthid=thread-a%3Ar8965279257837715728%7Cmsg-a%3Ar483894091371374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2026-03-11T21:58:39Z</dcterms:created>
  <dcterms:modified xsi:type="dcterms:W3CDTF">2026-03-11T21:58:39Z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2023-08-09T00:00:00Z</vt:filetime>
  </property>
  <property fmtid="{D5CDD505-2E9C-101B-9397-08002B2CF9AE}" pid="3" name="Creator">
    <vt:lpwstr>Mozilla/5.0 (Windows NT 10.0; Win64; x64) AppleWebKit/537.36 (KHTML, like Gecko) Chrome/115.0.0.0 Safari/537.36</vt:lpwstr>
  </property>
  <property fmtid="{D5CDD505-2E9C-101B-9397-08002B2CF9AE}" pid="4" name="LastSaved">
    <vt:filetime>2026-03-11T00:00:00Z</vt:filetime>
  </property>
  <property fmtid="{D5CDD505-2E9C-101B-9397-08002B2CF9AE}" pid="5" name="Producer">
    <vt:lpwstr>Skia/PDF m115</vt:lpwstr>
  </property>
</Properties>
</file>