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2E65" w:rsidRPr="007F2E65" w:rsidRDefault="007F2E65" w:rsidP="007F2E65">
      <w:pPr>
        <w:spacing w:after="150" w:line="240" w:lineRule="auto"/>
        <w:rPr>
          <w:rFonts w:ascii="Open Sans" w:eastAsia="Times New Roman" w:hAnsi="Open Sans" w:cs="Arial"/>
          <w:color w:val="333333"/>
          <w:sz w:val="21"/>
          <w:szCs w:val="21"/>
        </w:rPr>
      </w:pPr>
      <w:r w:rsidRPr="007F2E65">
        <w:rPr>
          <w:rFonts w:ascii="Open Sans" w:eastAsia="Times New Roman" w:hAnsi="Open Sans" w:cs="Arial"/>
          <w:color w:val="333333"/>
          <w:sz w:val="21"/>
          <w:szCs w:val="21"/>
        </w:rPr>
        <w:fldChar w:fldCharType="begin"/>
      </w:r>
      <w:r w:rsidRPr="007F2E65">
        <w:rPr>
          <w:rFonts w:ascii="Open Sans" w:eastAsia="Times New Roman" w:hAnsi="Open Sans" w:cs="Arial"/>
          <w:color w:val="333333"/>
          <w:sz w:val="21"/>
          <w:szCs w:val="21"/>
        </w:rPr>
        <w:instrText xml:space="preserve"> HYPERLINK "http://www.justice.gov/" \t "_blank" </w:instrText>
      </w:r>
      <w:r w:rsidRPr="007F2E65">
        <w:rPr>
          <w:rFonts w:ascii="Open Sans" w:eastAsia="Times New Roman" w:hAnsi="Open Sans" w:cs="Arial"/>
          <w:color w:val="333333"/>
          <w:sz w:val="21"/>
          <w:szCs w:val="21"/>
        </w:rPr>
        <w:fldChar w:fldCharType="separate"/>
      </w:r>
      <w:r w:rsidRPr="007F2E65">
        <w:rPr>
          <w:rFonts w:ascii="Open Sans" w:eastAsia="Times New Roman" w:hAnsi="Open Sans" w:cs="Arial"/>
          <w:color w:val="428BCA"/>
          <w:sz w:val="21"/>
          <w:szCs w:val="21"/>
          <w:u w:val="single"/>
        </w:rPr>
        <w:t>U.S. Department of Justice</w:t>
      </w:r>
      <w:r w:rsidRPr="007F2E65">
        <w:rPr>
          <w:rFonts w:ascii="Open Sans" w:eastAsia="Times New Roman" w:hAnsi="Open Sans" w:cs="Arial"/>
          <w:color w:val="333333"/>
          <w:sz w:val="21"/>
          <w:szCs w:val="21"/>
        </w:rPr>
        <w:fldChar w:fldCharType="end"/>
      </w:r>
    </w:p>
    <w:p w:rsidR="007F2E65" w:rsidRPr="007F2E65" w:rsidRDefault="007F2E65" w:rsidP="007F2E65">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Mission:  DOJ offers funding opportunities to conduct research, support law enforcement activities in state and local jurisdictions, provide training and technical assistance, and to implement program that improve the criminal justice system.</w:t>
      </w:r>
    </w:p>
    <w:p w:rsidR="007F2E65" w:rsidRPr="007F2E65" w:rsidRDefault="007F2E65" w:rsidP="007F2E65">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The Department of Justice is under the Office of the Attorney General</w:t>
      </w:r>
    </w:p>
    <w:p w:rsidR="007F2E65" w:rsidRPr="007F2E65" w:rsidRDefault="007F2E65" w:rsidP="007F2E65">
      <w:pPr>
        <w:numPr>
          <w:ilvl w:val="0"/>
          <w:numId w:val="1"/>
        </w:numPr>
        <w:spacing w:before="100" w:beforeAutospacing="1" w:after="100" w:afterAutospacing="1" w:line="240" w:lineRule="auto"/>
        <w:ind w:left="1020"/>
        <w:rPr>
          <w:rFonts w:ascii="Open Sans" w:eastAsia="Times New Roman" w:hAnsi="Open Sans" w:cs="Arial"/>
          <w:color w:val="333333"/>
          <w:sz w:val="21"/>
          <w:szCs w:val="21"/>
        </w:rPr>
      </w:pPr>
      <w:hyperlink r:id="rId6" w:tgtFrame="_blank" w:history="1">
        <w:r w:rsidRPr="007F2E65">
          <w:rPr>
            <w:rFonts w:ascii="Open Sans" w:eastAsia="Times New Roman" w:hAnsi="Open Sans" w:cs="Arial"/>
            <w:color w:val="428BCA"/>
            <w:sz w:val="21"/>
            <w:szCs w:val="21"/>
            <w:u w:val="single"/>
          </w:rPr>
          <w:t>Budget Page</w:t>
        </w:r>
      </w:hyperlink>
    </w:p>
    <w:p w:rsidR="007F2E65" w:rsidRPr="007F2E65" w:rsidRDefault="007F2E65" w:rsidP="007F2E65">
      <w:pPr>
        <w:spacing w:after="150" w:line="240" w:lineRule="auto"/>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 </w:t>
      </w:r>
    </w:p>
    <w:p w:rsidR="007F2E65" w:rsidRPr="007F2E65" w:rsidRDefault="007F2E65" w:rsidP="007F2E65">
      <w:pPr>
        <w:spacing w:before="300" w:after="150" w:line="240" w:lineRule="auto"/>
        <w:outlineLvl w:val="2"/>
        <w:rPr>
          <w:rFonts w:ascii="inherit" w:eastAsia="Times New Roman" w:hAnsi="inherit" w:cs="Arial"/>
          <w:color w:val="333333"/>
          <w:sz w:val="36"/>
          <w:szCs w:val="36"/>
        </w:rPr>
      </w:pPr>
      <w:r w:rsidRPr="007F2E65">
        <w:rPr>
          <w:rFonts w:ascii="inherit" w:eastAsia="Times New Roman" w:hAnsi="inherit" w:cs="Arial"/>
          <w:color w:val="333333"/>
          <w:sz w:val="36"/>
          <w:szCs w:val="36"/>
        </w:rPr>
        <w:t>Funding Opportunities by Unit</w:t>
      </w:r>
    </w:p>
    <w:p w:rsidR="007F2E65" w:rsidRPr="007F2E65" w:rsidRDefault="007F2E65" w:rsidP="007F2E65">
      <w:pPr>
        <w:spacing w:after="150" w:line="240" w:lineRule="auto"/>
        <w:rPr>
          <w:rFonts w:ascii="Open Sans" w:eastAsia="Times New Roman" w:hAnsi="Open Sans" w:cs="Arial"/>
          <w:color w:val="333333"/>
          <w:sz w:val="21"/>
          <w:szCs w:val="21"/>
        </w:rPr>
      </w:pPr>
      <w:hyperlink r:id="rId7" w:tgtFrame="_blank" w:history="1">
        <w:r w:rsidRPr="007F2E65">
          <w:rPr>
            <w:rFonts w:ascii="Open Sans" w:eastAsia="Times New Roman" w:hAnsi="Open Sans" w:cs="Arial"/>
            <w:color w:val="428BCA"/>
            <w:sz w:val="21"/>
            <w:szCs w:val="21"/>
            <w:u w:val="single"/>
          </w:rPr>
          <w:t>Office of Justice Programs (OJP)</w:t>
        </w:r>
      </w:hyperlink>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Offers federal financial assistance to scholars, practitioners, experts, and state and local governments and agencies.</w:t>
      </w:r>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 xml:space="preserve">OJP </w:t>
      </w:r>
      <w:hyperlink r:id="rId8" w:tgtFrame="_blank" w:history="1">
        <w:r w:rsidRPr="007F2E65">
          <w:rPr>
            <w:rFonts w:ascii="Open Sans" w:eastAsia="Times New Roman" w:hAnsi="Open Sans" w:cs="Arial"/>
            <w:color w:val="428BCA"/>
            <w:sz w:val="21"/>
            <w:szCs w:val="21"/>
            <w:u w:val="single"/>
          </w:rPr>
          <w:t>funding page</w:t>
        </w:r>
      </w:hyperlink>
      <w:r w:rsidRPr="007F2E65">
        <w:rPr>
          <w:rFonts w:ascii="Open Sans" w:eastAsia="Times New Roman" w:hAnsi="Open Sans" w:cs="Arial"/>
          <w:color w:val="333333"/>
          <w:sz w:val="21"/>
          <w:szCs w:val="21"/>
        </w:rPr>
        <w:t xml:space="preserve"> provides links to application kits, current funding opportunities listed by source, and the Grants Management System (GMS). </w:t>
      </w:r>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 xml:space="preserve">The OJP </w:t>
      </w:r>
      <w:hyperlink r:id="rId9" w:tgtFrame="_blank" w:history="1">
        <w:r w:rsidRPr="007F2E65">
          <w:rPr>
            <w:rFonts w:ascii="Open Sans" w:eastAsia="Times New Roman" w:hAnsi="Open Sans" w:cs="Arial"/>
            <w:i/>
            <w:iCs/>
            <w:color w:val="428BCA"/>
            <w:sz w:val="21"/>
            <w:szCs w:val="21"/>
            <w:u w:val="single"/>
          </w:rPr>
          <w:t>Grants 101</w:t>
        </w:r>
      </w:hyperlink>
      <w:r w:rsidRPr="007F2E65">
        <w:rPr>
          <w:rFonts w:ascii="Open Sans" w:eastAsia="Times New Roman" w:hAnsi="Open Sans" w:cs="Arial"/>
          <w:color w:val="333333"/>
          <w:sz w:val="21"/>
          <w:szCs w:val="21"/>
        </w:rPr>
        <w:t xml:space="preserve"> portal presents a step-by-step guide through the grant application process.</w:t>
      </w:r>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hyperlink r:id="rId10" w:tgtFrame="_blank" w:history="1">
        <w:r w:rsidRPr="007F2E65">
          <w:rPr>
            <w:rFonts w:ascii="Open Sans" w:eastAsia="Times New Roman" w:hAnsi="Open Sans" w:cs="Arial"/>
            <w:color w:val="428BCA"/>
            <w:sz w:val="21"/>
            <w:szCs w:val="21"/>
            <w:u w:val="single"/>
          </w:rPr>
          <w:t>Bureau of Justice Assistance (BJA)</w:t>
        </w:r>
      </w:hyperlink>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hyperlink r:id="rId11" w:tgtFrame="_blank" w:history="1">
        <w:r w:rsidRPr="007F2E65">
          <w:rPr>
            <w:rFonts w:ascii="Open Sans" w:eastAsia="Times New Roman" w:hAnsi="Open Sans" w:cs="Arial"/>
            <w:color w:val="428BCA"/>
            <w:sz w:val="21"/>
            <w:szCs w:val="21"/>
            <w:u w:val="single"/>
          </w:rPr>
          <w:t>Bureau of Justice Statistics (BJS)</w:t>
        </w:r>
      </w:hyperlink>
    </w:p>
    <w:p w:rsidR="007F2E65" w:rsidRPr="007F2E65" w:rsidRDefault="007F2E65" w:rsidP="007F2E65">
      <w:pPr>
        <w:numPr>
          <w:ilvl w:val="0"/>
          <w:numId w:val="2"/>
        </w:numPr>
        <w:spacing w:before="100" w:beforeAutospacing="1" w:after="100" w:afterAutospacing="1" w:line="240" w:lineRule="auto"/>
        <w:ind w:left="1020"/>
        <w:rPr>
          <w:rFonts w:ascii="Open Sans" w:eastAsia="Times New Roman" w:hAnsi="Open Sans" w:cs="Arial"/>
          <w:color w:val="333333"/>
          <w:sz w:val="21"/>
          <w:szCs w:val="21"/>
        </w:rPr>
      </w:pPr>
      <w:hyperlink r:id="rId12" w:tgtFrame="_blank" w:history="1">
        <w:r w:rsidRPr="007F2E65">
          <w:rPr>
            <w:rFonts w:ascii="Open Sans" w:eastAsia="Times New Roman" w:hAnsi="Open Sans" w:cs="Arial"/>
            <w:color w:val="428BCA"/>
            <w:sz w:val="21"/>
            <w:szCs w:val="21"/>
            <w:u w:val="single"/>
          </w:rPr>
          <w:t>National Institute of Justice (NIJ)</w:t>
        </w:r>
      </w:hyperlink>
      <w:r w:rsidRPr="007F2E65">
        <w:rPr>
          <w:rFonts w:ascii="Open Sans" w:eastAsia="Times New Roman" w:hAnsi="Open Sans" w:cs="Arial"/>
          <w:color w:val="333333"/>
          <w:sz w:val="21"/>
          <w:szCs w:val="21"/>
        </w:rPr>
        <w:t xml:space="preserve"> awards grants and agreements for the following: </w:t>
      </w:r>
    </w:p>
    <w:p w:rsidR="007F2E65" w:rsidRPr="007F2E65" w:rsidRDefault="007F2E65" w:rsidP="007F2E65">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r w:rsidRPr="007F2E65">
        <w:rPr>
          <w:rFonts w:ascii="Open Sans" w:eastAsia="Times New Roman" w:hAnsi="Open Sans" w:cs="Arial"/>
          <w:b/>
          <w:bCs/>
          <w:color w:val="333333"/>
          <w:sz w:val="21"/>
          <w:szCs w:val="21"/>
        </w:rPr>
        <w:t>Research, development and evaluation</w:t>
      </w:r>
      <w:r w:rsidRPr="007F2E65">
        <w:rPr>
          <w:rFonts w:ascii="Open Sans" w:eastAsia="Times New Roman" w:hAnsi="Open Sans" w:cs="Arial"/>
          <w:color w:val="333333"/>
          <w:sz w:val="21"/>
          <w:szCs w:val="21"/>
        </w:rPr>
        <w:t xml:space="preserve"> NIJ funds physical and social science research, development and evaluation projects about criminal justice through competitive solicitations, including fellowships. The focus of the solicitations varies from year to year based on research priorities and available funding.</w:t>
      </w:r>
    </w:p>
    <w:p w:rsidR="007F2E65" w:rsidRPr="007F2E65" w:rsidRDefault="007F2E65" w:rsidP="007F2E65">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hyperlink r:id="rId13" w:tooltip="Forensic laboratory enhancement" w:history="1">
        <w:r w:rsidRPr="007F2E65">
          <w:rPr>
            <w:rFonts w:ascii="Open Sans" w:eastAsia="Times New Roman" w:hAnsi="Open Sans" w:cs="Arial"/>
            <w:b/>
            <w:bCs/>
            <w:color w:val="428BCA"/>
            <w:sz w:val="21"/>
            <w:szCs w:val="21"/>
          </w:rPr>
          <w:t>Forensic laboratory enhancement</w:t>
        </w:r>
      </w:hyperlink>
      <w:r w:rsidRPr="007F2E65">
        <w:rPr>
          <w:rFonts w:ascii="Open Sans" w:eastAsia="Times New Roman" w:hAnsi="Open Sans" w:cs="Arial"/>
          <w:color w:val="333333"/>
          <w:sz w:val="21"/>
          <w:szCs w:val="21"/>
        </w:rPr>
        <w:t xml:space="preserve"> NIJ provides funding through formula and discretionary awards to reduce evidence backlogs and improve the quality and timeliness of forensic science and medical examiner services. Programs include: </w:t>
      </w:r>
    </w:p>
    <w:p w:rsidR="007F2E65" w:rsidRPr="007F2E65" w:rsidRDefault="007F2E65" w:rsidP="007F2E65">
      <w:pPr>
        <w:numPr>
          <w:ilvl w:val="2"/>
          <w:numId w:val="2"/>
        </w:numPr>
        <w:spacing w:before="100" w:beforeAutospacing="1" w:after="100" w:afterAutospacing="1" w:line="240" w:lineRule="auto"/>
        <w:ind w:left="2460"/>
        <w:rPr>
          <w:rFonts w:ascii="Open Sans" w:eastAsia="Times New Roman" w:hAnsi="Open Sans" w:cs="Arial"/>
          <w:color w:val="333333"/>
          <w:sz w:val="21"/>
          <w:szCs w:val="21"/>
        </w:rPr>
      </w:pPr>
      <w:hyperlink r:id="rId14" w:tooltip="DNA Backlog        Reduction Program (CFDA 16.471)" w:history="1">
        <w:r w:rsidRPr="007F2E65">
          <w:rPr>
            <w:rFonts w:ascii="Open Sans" w:eastAsia="Times New Roman" w:hAnsi="Open Sans" w:cs="Arial"/>
            <w:color w:val="428BCA"/>
            <w:sz w:val="21"/>
            <w:szCs w:val="21"/>
          </w:rPr>
          <w:t>DNA Backlog Reduction Program (CFDA 16.471)</w:t>
        </w:r>
      </w:hyperlink>
    </w:p>
    <w:p w:rsidR="007F2E65" w:rsidRPr="007F2E65" w:rsidRDefault="007F2E65" w:rsidP="007F2E65">
      <w:pPr>
        <w:numPr>
          <w:ilvl w:val="2"/>
          <w:numId w:val="2"/>
        </w:numPr>
        <w:spacing w:before="100" w:beforeAutospacing="1" w:after="100" w:afterAutospacing="1" w:line="240" w:lineRule="auto"/>
        <w:ind w:left="2460"/>
        <w:rPr>
          <w:rFonts w:ascii="Open Sans" w:eastAsia="Times New Roman" w:hAnsi="Open Sans" w:cs="Arial"/>
          <w:color w:val="333333"/>
          <w:sz w:val="21"/>
          <w:szCs w:val="21"/>
        </w:rPr>
      </w:pPr>
      <w:hyperlink r:id="rId15" w:tgtFrame="_blank" w:history="1">
        <w:r w:rsidRPr="007F2E65">
          <w:rPr>
            <w:rFonts w:ascii="Open Sans" w:eastAsia="Times New Roman" w:hAnsi="Open Sans" w:cs="Arial"/>
            <w:color w:val="428BCA"/>
            <w:sz w:val="21"/>
            <w:szCs w:val="21"/>
            <w:u w:val="single"/>
          </w:rPr>
          <w:t>Paul Coverdell Forensic Sciences Improvement Grant Program (16.472)</w:t>
        </w:r>
      </w:hyperlink>
    </w:p>
    <w:p w:rsidR="007F2E65" w:rsidRPr="007F2E65" w:rsidRDefault="007F2E65" w:rsidP="007F2E65">
      <w:pPr>
        <w:numPr>
          <w:ilvl w:val="1"/>
          <w:numId w:val="2"/>
        </w:numPr>
        <w:spacing w:before="100" w:beforeAutospacing="1" w:after="100" w:afterAutospacing="1" w:line="240" w:lineRule="auto"/>
        <w:ind w:left="1740"/>
        <w:rPr>
          <w:rFonts w:ascii="Open Sans" w:eastAsia="Times New Roman" w:hAnsi="Open Sans" w:cs="Arial"/>
          <w:color w:val="333333"/>
          <w:sz w:val="21"/>
          <w:szCs w:val="21"/>
        </w:rPr>
      </w:pPr>
      <w:r w:rsidRPr="007F2E65">
        <w:rPr>
          <w:rFonts w:ascii="Open Sans" w:eastAsia="Times New Roman" w:hAnsi="Open Sans" w:cs="Arial"/>
          <w:b/>
          <w:bCs/>
          <w:color w:val="333333"/>
          <w:sz w:val="21"/>
          <w:szCs w:val="21"/>
        </w:rPr>
        <w:t xml:space="preserve">Unsolicited Proposals </w:t>
      </w:r>
      <w:r w:rsidRPr="007F2E65">
        <w:rPr>
          <w:rFonts w:ascii="Open Sans" w:eastAsia="Times New Roman" w:hAnsi="Open Sans" w:cs="Arial"/>
          <w:color w:val="333333"/>
          <w:sz w:val="21"/>
          <w:szCs w:val="21"/>
        </w:rPr>
        <w:t>Although applicants may submit unsolicited proposals, they are discouraged from doing so unless the proposed concept has been discussed  with NIJ staff and have then been asked to submit a proposal that does not fit into a specific solicitation.</w:t>
      </w:r>
    </w:p>
    <w:p w:rsidR="007F2E65" w:rsidRPr="007F2E65" w:rsidRDefault="007F2E65" w:rsidP="007F2E65">
      <w:pPr>
        <w:spacing w:after="150" w:line="240" w:lineRule="auto"/>
        <w:rPr>
          <w:rFonts w:ascii="Open Sans" w:eastAsia="Times New Roman" w:hAnsi="Open Sans" w:cs="Arial"/>
          <w:color w:val="333333"/>
          <w:sz w:val="21"/>
          <w:szCs w:val="21"/>
        </w:rPr>
      </w:pPr>
      <w:hyperlink r:id="rId16" w:tgtFrame="_blank" w:history="1">
        <w:r w:rsidRPr="007F2E65">
          <w:rPr>
            <w:rFonts w:ascii="Open Sans" w:eastAsia="Times New Roman" w:hAnsi="Open Sans" w:cs="Arial"/>
            <w:color w:val="428BCA"/>
            <w:sz w:val="21"/>
            <w:szCs w:val="21"/>
            <w:u w:val="single"/>
          </w:rPr>
          <w:t xml:space="preserve">Office on Violence </w:t>
        </w:r>
        <w:proofErr w:type="gramStart"/>
        <w:r w:rsidRPr="007F2E65">
          <w:rPr>
            <w:rFonts w:ascii="Open Sans" w:eastAsia="Times New Roman" w:hAnsi="Open Sans" w:cs="Arial"/>
            <w:color w:val="428BCA"/>
            <w:sz w:val="21"/>
            <w:szCs w:val="21"/>
            <w:u w:val="single"/>
          </w:rPr>
          <w:t>Against</w:t>
        </w:r>
        <w:proofErr w:type="gramEnd"/>
        <w:r w:rsidRPr="007F2E65">
          <w:rPr>
            <w:rFonts w:ascii="Open Sans" w:eastAsia="Times New Roman" w:hAnsi="Open Sans" w:cs="Arial"/>
            <w:color w:val="428BCA"/>
            <w:sz w:val="21"/>
            <w:szCs w:val="21"/>
            <w:u w:val="single"/>
          </w:rPr>
          <w:t xml:space="preserve"> Women (OVW)</w:t>
        </w:r>
      </w:hyperlink>
      <w:r w:rsidRPr="007F2E65">
        <w:rPr>
          <w:rFonts w:ascii="Open Sans" w:eastAsia="Times New Roman" w:hAnsi="Open Sans" w:cs="Arial"/>
          <w:color w:val="333333"/>
          <w:sz w:val="21"/>
          <w:szCs w:val="21"/>
        </w:rPr>
        <w:t xml:space="preserve"> administers 24 grant programs that provide help to victims of domestic violence, dating and sexual abuse, etc.</w:t>
      </w:r>
    </w:p>
    <w:p w:rsidR="007F2E65" w:rsidRPr="007F2E65" w:rsidRDefault="007F2E65" w:rsidP="007F2E65">
      <w:pPr>
        <w:spacing w:after="150" w:line="240" w:lineRule="auto"/>
        <w:rPr>
          <w:rFonts w:ascii="Open Sans" w:eastAsia="Times New Roman" w:hAnsi="Open Sans" w:cs="Arial"/>
          <w:color w:val="333333"/>
          <w:sz w:val="21"/>
          <w:szCs w:val="21"/>
        </w:rPr>
      </w:pPr>
      <w:hyperlink r:id="rId17" w:tgtFrame="_blank" w:history="1">
        <w:r w:rsidRPr="007F2E65">
          <w:rPr>
            <w:rFonts w:ascii="Open Sans" w:eastAsia="Times New Roman" w:hAnsi="Open Sans" w:cs="Arial"/>
            <w:color w:val="428BCA"/>
            <w:sz w:val="21"/>
            <w:szCs w:val="21"/>
            <w:u w:val="single"/>
          </w:rPr>
          <w:t>Office of Juvenile Justice and Delinquency Prevention</w:t>
        </w:r>
      </w:hyperlink>
      <w:r w:rsidRPr="007F2E65">
        <w:rPr>
          <w:rFonts w:ascii="Open Sans" w:eastAsia="Times New Roman" w:hAnsi="Open Sans" w:cs="Arial"/>
          <w:color w:val="333333"/>
          <w:sz w:val="21"/>
          <w:szCs w:val="21"/>
        </w:rPr>
        <w:t xml:space="preserve"> (OJJDP)</w:t>
      </w:r>
    </w:p>
    <w:p w:rsidR="007F2E65" w:rsidRPr="007F2E65" w:rsidRDefault="007F2E65" w:rsidP="007F2E65">
      <w:pPr>
        <w:spacing w:after="150" w:line="240" w:lineRule="auto"/>
        <w:rPr>
          <w:rFonts w:ascii="Open Sans" w:eastAsia="Times New Roman" w:hAnsi="Open Sans" w:cs="Arial"/>
          <w:color w:val="333333"/>
          <w:sz w:val="21"/>
          <w:szCs w:val="21"/>
        </w:rPr>
      </w:pPr>
      <w:hyperlink r:id="rId18" w:tgtFrame="_blank" w:history="1">
        <w:r w:rsidRPr="007F2E65">
          <w:rPr>
            <w:rFonts w:ascii="Open Sans" w:eastAsia="Times New Roman" w:hAnsi="Open Sans" w:cs="Arial"/>
            <w:color w:val="428BCA"/>
            <w:sz w:val="21"/>
            <w:szCs w:val="21"/>
            <w:u w:val="single"/>
          </w:rPr>
          <w:t>Office of Sex Offender Sentencing, Monitoring, Apprehending, Registering, and Tracking (SMART)</w:t>
        </w:r>
      </w:hyperlink>
    </w:p>
    <w:p w:rsidR="007F2E65" w:rsidRPr="007F2E65" w:rsidRDefault="007F2E65" w:rsidP="007F2E65">
      <w:pPr>
        <w:spacing w:after="150" w:line="240" w:lineRule="auto"/>
        <w:rPr>
          <w:rFonts w:ascii="Open Sans" w:eastAsia="Times New Roman" w:hAnsi="Open Sans" w:cs="Arial"/>
          <w:color w:val="333333"/>
          <w:sz w:val="21"/>
          <w:szCs w:val="21"/>
        </w:rPr>
      </w:pPr>
      <w:hyperlink r:id="rId19" w:tgtFrame="_blank" w:history="1">
        <w:r w:rsidRPr="007F2E65">
          <w:rPr>
            <w:rFonts w:ascii="Open Sans" w:eastAsia="Times New Roman" w:hAnsi="Open Sans" w:cs="Arial"/>
            <w:color w:val="428BCA"/>
            <w:sz w:val="21"/>
            <w:szCs w:val="21"/>
            <w:u w:val="single"/>
          </w:rPr>
          <w:t>Office for Victims of Crime (OVC</w:t>
        </w:r>
        <w:proofErr w:type="gramStart"/>
        <w:r w:rsidRPr="007F2E65">
          <w:rPr>
            <w:rFonts w:ascii="Open Sans" w:eastAsia="Times New Roman" w:hAnsi="Open Sans" w:cs="Arial"/>
            <w:color w:val="428BCA"/>
            <w:sz w:val="21"/>
            <w:szCs w:val="21"/>
            <w:u w:val="single"/>
          </w:rPr>
          <w:t>)</w:t>
        </w:r>
        <w:proofErr w:type="gramEnd"/>
      </w:hyperlink>
      <w:r w:rsidRPr="007F2E65">
        <w:rPr>
          <w:rFonts w:ascii="Open Sans" w:eastAsia="Times New Roman" w:hAnsi="Open Sans" w:cs="Arial"/>
          <w:color w:val="333333"/>
          <w:sz w:val="21"/>
          <w:szCs w:val="21"/>
        </w:rPr>
        <w:t>offers discretionary grants, which fund national-scope demonstration projects and training and technical assistance delivery to enhance the professional expertise of victim service providers</w:t>
      </w:r>
    </w:p>
    <w:p w:rsidR="007F2E65" w:rsidRPr="007F2E65" w:rsidRDefault="007F2E65" w:rsidP="007F2E65">
      <w:pPr>
        <w:numPr>
          <w:ilvl w:val="0"/>
          <w:numId w:val="3"/>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Universities are eligible to apply</w:t>
      </w:r>
    </w:p>
    <w:p w:rsidR="007F2E65" w:rsidRPr="007F2E65" w:rsidRDefault="007F2E65" w:rsidP="007F2E65">
      <w:pPr>
        <w:numPr>
          <w:ilvl w:val="0"/>
          <w:numId w:val="3"/>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Proposals should address gaps in training and technical assistance for the victim services field</w:t>
      </w:r>
    </w:p>
    <w:p w:rsidR="007F2E65" w:rsidRPr="007F2E65" w:rsidRDefault="007F2E65" w:rsidP="007F2E65">
      <w:pPr>
        <w:spacing w:after="150" w:line="240" w:lineRule="auto"/>
        <w:rPr>
          <w:rFonts w:ascii="Open Sans" w:eastAsia="Times New Roman" w:hAnsi="Open Sans" w:cs="Arial"/>
          <w:color w:val="333333"/>
          <w:sz w:val="21"/>
          <w:szCs w:val="21"/>
        </w:rPr>
      </w:pPr>
      <w:hyperlink r:id="rId20" w:tgtFrame="_blank" w:history="1">
        <w:r w:rsidRPr="007F2E65">
          <w:rPr>
            <w:rFonts w:ascii="Open Sans" w:eastAsia="Times New Roman" w:hAnsi="Open Sans" w:cs="Arial"/>
            <w:color w:val="428BCA"/>
            <w:sz w:val="21"/>
            <w:szCs w:val="21"/>
            <w:u w:val="single"/>
          </w:rPr>
          <w:t>National Criminal Justice Reference Service (NCJRS</w:t>
        </w:r>
        <w:proofErr w:type="gramStart"/>
        <w:r w:rsidRPr="007F2E65">
          <w:rPr>
            <w:rFonts w:ascii="Open Sans" w:eastAsia="Times New Roman" w:hAnsi="Open Sans" w:cs="Arial"/>
            <w:color w:val="428BCA"/>
            <w:sz w:val="21"/>
            <w:szCs w:val="21"/>
            <w:u w:val="single"/>
          </w:rPr>
          <w:t>)</w:t>
        </w:r>
        <w:proofErr w:type="gramEnd"/>
      </w:hyperlink>
      <w:r w:rsidRPr="007F2E65">
        <w:rPr>
          <w:rFonts w:ascii="Open Sans" w:eastAsia="Times New Roman" w:hAnsi="Open Sans" w:cs="Arial"/>
          <w:color w:val="333333"/>
          <w:sz w:val="21"/>
          <w:szCs w:val="21"/>
        </w:rPr>
        <w:t>is a federally funded resource offering justice and drug-related information to support research, policy, and program development worldwide.</w:t>
      </w:r>
    </w:p>
    <w:p w:rsidR="007F2E65" w:rsidRPr="007F2E65" w:rsidRDefault="007F2E65" w:rsidP="007F2E65">
      <w:pPr>
        <w:spacing w:after="150" w:line="240" w:lineRule="auto"/>
        <w:rPr>
          <w:rFonts w:ascii="Open Sans" w:eastAsia="Times New Roman" w:hAnsi="Open Sans" w:cs="Arial"/>
          <w:color w:val="333333"/>
          <w:sz w:val="21"/>
          <w:szCs w:val="21"/>
        </w:rPr>
      </w:pPr>
      <w:hyperlink r:id="rId21" w:tgtFrame="_blank" w:history="1">
        <w:r w:rsidRPr="007F2E65">
          <w:rPr>
            <w:rFonts w:ascii="Open Sans" w:eastAsia="Times New Roman" w:hAnsi="Open Sans" w:cs="Arial"/>
            <w:color w:val="428BCA"/>
            <w:sz w:val="21"/>
            <w:szCs w:val="21"/>
            <w:u w:val="single"/>
          </w:rPr>
          <w:t>Community Oriented Policing Services Office (COPS)</w:t>
        </w:r>
      </w:hyperlink>
      <w:r w:rsidRPr="007F2E65">
        <w:rPr>
          <w:rFonts w:ascii="Open Sans" w:eastAsia="Times New Roman" w:hAnsi="Open Sans" w:cs="Arial"/>
          <w:color w:val="333333"/>
          <w:sz w:val="21"/>
          <w:szCs w:val="21"/>
        </w:rPr>
        <w:t xml:space="preserve"> limits eligibility to local, state, and tribal law enforcement agencies. Collaborative opportunities may exist for colleges and universities.</w:t>
      </w:r>
    </w:p>
    <w:p w:rsidR="007F2E65" w:rsidRPr="007F2E65" w:rsidRDefault="007F2E65" w:rsidP="007F2E65">
      <w:pPr>
        <w:spacing w:before="300" w:after="150" w:line="240" w:lineRule="auto"/>
        <w:outlineLvl w:val="2"/>
        <w:rPr>
          <w:rFonts w:ascii="inherit" w:eastAsia="Times New Roman" w:hAnsi="inherit" w:cs="Arial"/>
          <w:color w:val="333333"/>
          <w:sz w:val="36"/>
          <w:szCs w:val="36"/>
        </w:rPr>
      </w:pPr>
      <w:r w:rsidRPr="007F2E65">
        <w:rPr>
          <w:rFonts w:ascii="inherit" w:eastAsia="Times New Roman" w:hAnsi="inherit" w:cs="Arial"/>
          <w:color w:val="333333"/>
          <w:sz w:val="36"/>
          <w:szCs w:val="36"/>
        </w:rPr>
        <w:t>Things to Consider</w:t>
      </w:r>
    </w:p>
    <w:p w:rsidR="007F2E65" w:rsidRPr="007F2E65" w:rsidRDefault="007F2E65" w:rsidP="007F2E65">
      <w:pPr>
        <w:numPr>
          <w:ilvl w:val="0"/>
          <w:numId w:val="4"/>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Most DOJ grant programs require collaborations with community organizations</w:t>
      </w:r>
    </w:p>
    <w:p w:rsidR="007F2E65" w:rsidRPr="007F2E65" w:rsidRDefault="007F2E65" w:rsidP="007F2E65">
      <w:pPr>
        <w:numPr>
          <w:ilvl w:val="0"/>
          <w:numId w:val="4"/>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 xml:space="preserve">Most DOJ grant solicitations are released in spring each year. </w:t>
      </w:r>
    </w:p>
    <w:p w:rsidR="007F2E65" w:rsidRPr="007F2E65" w:rsidRDefault="007F2E65" w:rsidP="007F2E65">
      <w:pPr>
        <w:numPr>
          <w:ilvl w:val="0"/>
          <w:numId w:val="4"/>
        </w:numPr>
        <w:spacing w:before="100" w:beforeAutospacing="1" w:after="100" w:afterAutospacing="1" w:line="240" w:lineRule="auto"/>
        <w:ind w:left="1020"/>
        <w:rPr>
          <w:rFonts w:ascii="Open Sans" w:eastAsia="Times New Roman" w:hAnsi="Open Sans" w:cs="Arial"/>
          <w:color w:val="333333"/>
          <w:sz w:val="21"/>
          <w:szCs w:val="21"/>
        </w:rPr>
      </w:pPr>
      <w:r w:rsidRPr="007F2E65">
        <w:rPr>
          <w:rFonts w:ascii="Open Sans" w:eastAsia="Times New Roman" w:hAnsi="Open Sans" w:cs="Arial"/>
          <w:color w:val="333333"/>
          <w:sz w:val="21"/>
          <w:szCs w:val="21"/>
        </w:rPr>
        <w:t>Become a Peer Reviewer - DOJ's peer review process varies by office</w:t>
      </w:r>
    </w:p>
    <w:p w:rsidR="007F2E65" w:rsidRPr="007F2E65" w:rsidRDefault="007F2E65" w:rsidP="007F2E65">
      <w:pPr>
        <w:numPr>
          <w:ilvl w:val="0"/>
          <w:numId w:val="4"/>
        </w:numPr>
        <w:spacing w:before="100" w:beforeAutospacing="1" w:after="100" w:afterAutospacing="1" w:line="240" w:lineRule="auto"/>
        <w:ind w:left="1020"/>
        <w:rPr>
          <w:rFonts w:ascii="Open Sans" w:eastAsia="Times New Roman" w:hAnsi="Open Sans" w:cs="Arial"/>
          <w:color w:val="333333"/>
          <w:sz w:val="21"/>
          <w:szCs w:val="21"/>
        </w:rPr>
      </w:pPr>
      <w:hyperlink r:id="rId22" w:tooltip="Freedom of Information Act Submissions" w:history="1">
        <w:r w:rsidRPr="007F2E65">
          <w:rPr>
            <w:rFonts w:ascii="Open Sans" w:eastAsia="Times New Roman" w:hAnsi="Open Sans" w:cs="Arial"/>
            <w:color w:val="428BCA"/>
            <w:sz w:val="21"/>
            <w:szCs w:val="21"/>
          </w:rPr>
          <w:t>Freedom of Information Act Submissions</w:t>
        </w:r>
      </w:hyperlink>
    </w:p>
    <w:p w:rsidR="004D3667" w:rsidRDefault="004D3667"/>
    <w:sectPr w:rsidR="004D3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7D5"/>
    <w:multiLevelType w:val="multilevel"/>
    <w:tmpl w:val="DF18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80187"/>
    <w:multiLevelType w:val="multilevel"/>
    <w:tmpl w:val="9748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D2D1E"/>
    <w:multiLevelType w:val="multilevel"/>
    <w:tmpl w:val="33FEF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31B65"/>
    <w:multiLevelType w:val="multilevel"/>
    <w:tmpl w:val="5532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65"/>
    <w:rsid w:val="004D3667"/>
    <w:rsid w:val="007F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E65"/>
    <w:pPr>
      <w:spacing w:before="300" w:after="150" w:line="240" w:lineRule="auto"/>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E65"/>
    <w:rPr>
      <w:rFonts w:ascii="inherit" w:eastAsia="Times New Roman" w:hAnsi="inherit" w:cs="Times New Roman"/>
      <w:sz w:val="36"/>
      <w:szCs w:val="36"/>
    </w:rPr>
  </w:style>
  <w:style w:type="character" w:styleId="Hyperlink">
    <w:name w:val="Hyperlink"/>
    <w:basedOn w:val="DefaultParagraphFont"/>
    <w:uiPriority w:val="99"/>
    <w:semiHidden/>
    <w:unhideWhenUsed/>
    <w:rsid w:val="007F2E65"/>
    <w:rPr>
      <w:strike w:val="0"/>
      <w:dstrike w:val="0"/>
      <w:color w:val="428BCA"/>
      <w:u w:val="none"/>
      <w:effect w:val="none"/>
      <w:shd w:val="clear" w:color="auto" w:fill="auto"/>
    </w:rPr>
  </w:style>
  <w:style w:type="character" w:styleId="Strong">
    <w:name w:val="Strong"/>
    <w:basedOn w:val="DefaultParagraphFont"/>
    <w:uiPriority w:val="22"/>
    <w:qFormat/>
    <w:rsid w:val="007F2E65"/>
    <w:rPr>
      <w:b/>
      <w:bCs/>
    </w:rPr>
  </w:style>
  <w:style w:type="paragraph" w:styleId="NormalWeb">
    <w:name w:val="Normal (Web)"/>
    <w:basedOn w:val="Normal"/>
    <w:uiPriority w:val="99"/>
    <w:semiHidden/>
    <w:unhideWhenUsed/>
    <w:rsid w:val="007F2E65"/>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E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F2E65"/>
    <w:pPr>
      <w:spacing w:before="300" w:after="150" w:line="240" w:lineRule="auto"/>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2E65"/>
    <w:rPr>
      <w:rFonts w:ascii="inherit" w:eastAsia="Times New Roman" w:hAnsi="inherit" w:cs="Times New Roman"/>
      <w:sz w:val="36"/>
      <w:szCs w:val="36"/>
    </w:rPr>
  </w:style>
  <w:style w:type="character" w:styleId="Hyperlink">
    <w:name w:val="Hyperlink"/>
    <w:basedOn w:val="DefaultParagraphFont"/>
    <w:uiPriority w:val="99"/>
    <w:semiHidden/>
    <w:unhideWhenUsed/>
    <w:rsid w:val="007F2E65"/>
    <w:rPr>
      <w:strike w:val="0"/>
      <w:dstrike w:val="0"/>
      <w:color w:val="428BCA"/>
      <w:u w:val="none"/>
      <w:effect w:val="none"/>
      <w:shd w:val="clear" w:color="auto" w:fill="auto"/>
    </w:rPr>
  </w:style>
  <w:style w:type="character" w:styleId="Strong">
    <w:name w:val="Strong"/>
    <w:basedOn w:val="DefaultParagraphFont"/>
    <w:uiPriority w:val="22"/>
    <w:qFormat/>
    <w:rsid w:val="007F2E65"/>
    <w:rPr>
      <w:b/>
      <w:bCs/>
    </w:rPr>
  </w:style>
  <w:style w:type="paragraph" w:styleId="NormalWeb">
    <w:name w:val="Normal (Web)"/>
    <w:basedOn w:val="Normal"/>
    <w:uiPriority w:val="99"/>
    <w:semiHidden/>
    <w:unhideWhenUsed/>
    <w:rsid w:val="007F2E65"/>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2E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41528">
      <w:bodyDiv w:val="1"/>
      <w:marLeft w:val="0"/>
      <w:marRight w:val="0"/>
      <w:marTop w:val="0"/>
      <w:marBottom w:val="0"/>
      <w:divBdr>
        <w:top w:val="none" w:sz="0" w:space="0" w:color="auto"/>
        <w:left w:val="none" w:sz="0" w:space="0" w:color="auto"/>
        <w:bottom w:val="none" w:sz="0" w:space="0" w:color="auto"/>
        <w:right w:val="none" w:sz="0" w:space="0" w:color="auto"/>
      </w:divBdr>
      <w:divsChild>
        <w:div w:id="1020080983">
          <w:marLeft w:val="0"/>
          <w:marRight w:val="0"/>
          <w:marTop w:val="0"/>
          <w:marBottom w:val="0"/>
          <w:divBdr>
            <w:top w:val="none" w:sz="0" w:space="0" w:color="auto"/>
            <w:left w:val="none" w:sz="0" w:space="0" w:color="auto"/>
            <w:bottom w:val="none" w:sz="0" w:space="0" w:color="auto"/>
            <w:right w:val="none" w:sz="0" w:space="0" w:color="auto"/>
          </w:divBdr>
          <w:divsChild>
            <w:div w:id="422073845">
              <w:marLeft w:val="0"/>
              <w:marRight w:val="0"/>
              <w:marTop w:val="0"/>
              <w:marBottom w:val="0"/>
              <w:divBdr>
                <w:top w:val="none" w:sz="0" w:space="0" w:color="auto"/>
                <w:left w:val="none" w:sz="0" w:space="0" w:color="auto"/>
                <w:bottom w:val="none" w:sz="0" w:space="0" w:color="auto"/>
                <w:right w:val="none" w:sz="0" w:space="0" w:color="auto"/>
              </w:divBdr>
              <w:divsChild>
                <w:div w:id="1200630744">
                  <w:marLeft w:val="300"/>
                  <w:marRight w:val="300"/>
                  <w:marTop w:val="0"/>
                  <w:marBottom w:val="0"/>
                  <w:divBdr>
                    <w:top w:val="none" w:sz="0" w:space="0" w:color="auto"/>
                    <w:left w:val="none" w:sz="0" w:space="0" w:color="auto"/>
                    <w:bottom w:val="none" w:sz="0" w:space="0" w:color="auto"/>
                    <w:right w:val="none" w:sz="0" w:space="0" w:color="auto"/>
                  </w:divBdr>
                  <w:divsChild>
                    <w:div w:id="780414237">
                      <w:marLeft w:val="0"/>
                      <w:marRight w:val="0"/>
                      <w:marTop w:val="0"/>
                      <w:marBottom w:val="0"/>
                      <w:divBdr>
                        <w:top w:val="none" w:sz="0" w:space="0" w:color="auto"/>
                        <w:left w:val="none" w:sz="0" w:space="0" w:color="auto"/>
                        <w:bottom w:val="none" w:sz="0" w:space="0" w:color="auto"/>
                        <w:right w:val="none" w:sz="0" w:space="0" w:color="auto"/>
                      </w:divBdr>
                      <w:divsChild>
                        <w:div w:id="11522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jp.gov/funding/" TargetMode="External"/><Relationship Id="rId13" Type="http://schemas.openxmlformats.org/officeDocument/2006/relationships/hyperlink" Target="http://nij.gov/funding/pages/laboratory-enhancement.aspx" TargetMode="External"/><Relationship Id="rId18" Type="http://schemas.openxmlformats.org/officeDocument/2006/relationships/hyperlink" Target="http://ojp.gov/smart/funding.htm" TargetMode="External"/><Relationship Id="rId3" Type="http://schemas.microsoft.com/office/2007/relationships/stylesWithEffects" Target="stylesWithEffects.xml"/><Relationship Id="rId21" Type="http://schemas.openxmlformats.org/officeDocument/2006/relationships/hyperlink" Target="http://www.cops.usdoj.gov/" TargetMode="External"/><Relationship Id="rId7" Type="http://schemas.openxmlformats.org/officeDocument/2006/relationships/hyperlink" Target="http://ojp.gov/" TargetMode="External"/><Relationship Id="rId12" Type="http://schemas.openxmlformats.org/officeDocument/2006/relationships/hyperlink" Target="http://www.nij.gov/funding/pages/welcome.aspx" TargetMode="External"/><Relationship Id="rId17" Type="http://schemas.openxmlformats.org/officeDocument/2006/relationships/hyperlink" Target="http://www.ojjdp.gov/funding/funding.html" TargetMode="External"/><Relationship Id="rId2" Type="http://schemas.openxmlformats.org/officeDocument/2006/relationships/styles" Target="styles.xml"/><Relationship Id="rId16" Type="http://schemas.openxmlformats.org/officeDocument/2006/relationships/hyperlink" Target="http://www.justice.gov/ovw/grant-programs" TargetMode="External"/><Relationship Id="rId20" Type="http://schemas.openxmlformats.org/officeDocument/2006/relationships/hyperlink" Target="https://www.ncjrs.gov/fedgrant.html" TargetMode="External"/><Relationship Id="rId1" Type="http://schemas.openxmlformats.org/officeDocument/2006/relationships/numbering" Target="numbering.xml"/><Relationship Id="rId6" Type="http://schemas.openxmlformats.org/officeDocument/2006/relationships/hyperlink" Target="http://www.justice.gov/about/budget-and-performance" TargetMode="External"/><Relationship Id="rId11" Type="http://schemas.openxmlformats.org/officeDocument/2006/relationships/hyperlink" Target="http://www.bjs.gov/index.cfm?ty=fu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j.gov/nij/topics/forensics/lab-operations/capacity/nfsia/welcome.htm" TargetMode="External"/><Relationship Id="rId23" Type="http://schemas.openxmlformats.org/officeDocument/2006/relationships/fontTable" Target="fontTable.xml"/><Relationship Id="rId10" Type="http://schemas.openxmlformats.org/officeDocument/2006/relationships/hyperlink" Target="https://www.bja.gov/Default.aspx" TargetMode="External"/><Relationship Id="rId19" Type="http://schemas.openxmlformats.org/officeDocument/2006/relationships/hyperlink" Target="http://ojp.gov/ovc/grants/index.html" TargetMode="External"/><Relationship Id="rId4" Type="http://schemas.openxmlformats.org/officeDocument/2006/relationships/settings" Target="settings.xml"/><Relationship Id="rId9" Type="http://schemas.openxmlformats.org/officeDocument/2006/relationships/hyperlink" Target="http://ojp.gov/grants101/" TargetMode="External"/><Relationship Id="rId14" Type="http://schemas.openxmlformats.org/officeDocument/2006/relationships/hyperlink" Target="http://nij.gov/topics/forensics/lab-operations/evidence-backlogs/pages/backlog-reduction-program.aspx" TargetMode="External"/><Relationship Id="rId22" Type="http://schemas.openxmlformats.org/officeDocument/2006/relationships/hyperlink" Target="http://www.aascu.org/GRC/MultiSection.aspx?id=10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3868</Characters>
  <Application>Microsoft Office Word</Application>
  <DocSecurity>0</DocSecurity>
  <Lines>82</Lines>
  <Paragraphs>51</Paragraphs>
  <ScaleCrop>false</ScaleCrop>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cp:revision>
  <dcterms:created xsi:type="dcterms:W3CDTF">2018-09-26T18:03:00Z</dcterms:created>
  <dcterms:modified xsi:type="dcterms:W3CDTF">2018-09-26T18:03:00Z</dcterms:modified>
</cp:coreProperties>
</file>