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02" w:lineRule="auto" w:before="77"/>
        <w:ind w:left="1790" w:right="1776" w:firstLine="1384"/>
        <w:jc w:val="left"/>
        <w:rPr>
          <w:b/>
          <w:sz w:val="28"/>
        </w:rPr>
      </w:pPr>
      <w:r>
        <w:rPr>
          <w:b/>
          <w:sz w:val="28"/>
        </w:rPr>
        <w:t>Department of Geosciences Responsible Conduct of Research and Scholarship</w:t>
      </w:r>
    </w:p>
    <w:p>
      <w:pPr>
        <w:pStyle w:val="BodyText"/>
        <w:spacing w:before="8"/>
        <w:rPr>
          <w:b/>
          <w:sz w:val="23"/>
        </w:rPr>
      </w:pPr>
    </w:p>
    <w:p>
      <w:pPr>
        <w:pStyle w:val="BodyText"/>
        <w:spacing w:line="249" w:lineRule="auto"/>
        <w:ind w:left="115" w:right="104" w:hanging="10"/>
        <w:jc w:val="both"/>
      </w:pPr>
      <w:r>
        <w:rPr>
          <w:spacing w:val="-3"/>
        </w:rPr>
        <w:t>In</w:t>
      </w:r>
      <w:r>
        <w:rPr>
          <w:spacing w:val="-4"/>
        </w:rPr>
        <w:t> </w:t>
      </w:r>
      <w:r>
        <w:rPr/>
        <w:t>compliance</w:t>
      </w:r>
      <w:r>
        <w:rPr>
          <w:spacing w:val="-3"/>
        </w:rPr>
        <w:t> </w:t>
      </w:r>
      <w:r>
        <w:rPr/>
        <w:t>with</w:t>
      </w:r>
      <w:r>
        <w:rPr>
          <w:spacing w:val="-4"/>
        </w:rPr>
        <w:t> </w:t>
      </w:r>
      <w:r>
        <w:rPr/>
        <w:t>the</w:t>
      </w:r>
      <w:r>
        <w:rPr>
          <w:spacing w:val="-2"/>
        </w:rPr>
        <w:t> </w:t>
      </w:r>
      <w:r>
        <w:rPr/>
        <w:t>Stony</w:t>
      </w:r>
      <w:r>
        <w:rPr>
          <w:spacing w:val="-6"/>
        </w:rPr>
        <w:t> </w:t>
      </w:r>
      <w:r>
        <w:rPr/>
        <w:t>Brook</w:t>
      </w:r>
      <w:r>
        <w:rPr>
          <w:spacing w:val="-5"/>
        </w:rPr>
        <w:t> </w:t>
      </w:r>
      <w:r>
        <w:rPr/>
        <w:t>University</w:t>
      </w:r>
      <w:r>
        <w:rPr>
          <w:spacing w:val="-5"/>
        </w:rPr>
        <w:t> </w:t>
      </w:r>
      <w:r>
        <w:rPr/>
        <w:t>(SBU)</w:t>
      </w:r>
      <w:r>
        <w:rPr>
          <w:spacing w:val="-4"/>
        </w:rPr>
        <w:t> </w:t>
      </w:r>
      <w:r>
        <w:rPr/>
        <w:t>policy</w:t>
      </w:r>
      <w:r>
        <w:rPr>
          <w:spacing w:val="-5"/>
        </w:rPr>
        <w:t> </w:t>
      </w:r>
      <w:r>
        <w:rPr/>
        <w:t>on</w:t>
      </w:r>
      <w:r>
        <w:rPr>
          <w:spacing w:val="-3"/>
        </w:rPr>
        <w:t> </w:t>
      </w:r>
      <w:r>
        <w:rPr/>
        <w:t>the</w:t>
      </w:r>
      <w:r>
        <w:rPr>
          <w:spacing w:val="-2"/>
        </w:rPr>
        <w:t> </w:t>
      </w:r>
      <w:r>
        <w:rPr/>
        <w:t>Responsible</w:t>
      </w:r>
      <w:r>
        <w:rPr>
          <w:spacing w:val="-4"/>
        </w:rPr>
        <w:t> </w:t>
      </w:r>
      <w:r>
        <w:rPr/>
        <w:t>Conduct</w:t>
      </w:r>
      <w:r>
        <w:rPr>
          <w:spacing w:val="-4"/>
        </w:rPr>
        <w:t> </w:t>
      </w:r>
      <w:r>
        <w:rPr/>
        <w:t>of</w:t>
      </w:r>
      <w:r>
        <w:rPr>
          <w:spacing w:val="-2"/>
        </w:rPr>
        <w:t> </w:t>
      </w:r>
      <w:r>
        <w:rPr/>
        <w:t>Research</w:t>
      </w:r>
      <w:r>
        <w:rPr>
          <w:spacing w:val="-2"/>
        </w:rPr>
        <w:t> </w:t>
      </w:r>
      <w:r>
        <w:rPr/>
        <w:t>and Scholarship</w:t>
      </w:r>
      <w:r>
        <w:rPr>
          <w:spacing w:val="-16"/>
        </w:rPr>
        <w:t> </w:t>
      </w:r>
      <w:r>
        <w:rPr/>
        <w:t>(RCRS;</w:t>
      </w:r>
      <w:r>
        <w:rPr>
          <w:spacing w:val="-13"/>
        </w:rPr>
        <w:t> </w:t>
      </w:r>
      <w:r>
        <w:rPr/>
        <w:t>SBU</w:t>
      </w:r>
      <w:r>
        <w:rPr>
          <w:spacing w:val="-15"/>
        </w:rPr>
        <w:t> </w:t>
      </w:r>
      <w:r>
        <w:rPr/>
        <w:t>Policy</w:t>
      </w:r>
      <w:r>
        <w:rPr>
          <w:spacing w:val="-15"/>
        </w:rPr>
        <w:t> </w:t>
      </w:r>
      <w:r>
        <w:rPr>
          <w:color w:val="0563C1"/>
          <w:u w:val="single" w:color="0563C1"/>
        </w:rPr>
        <w:t>P211</w:t>
      </w:r>
      <w:r>
        <w:rPr/>
        <w:t>),</w:t>
      </w:r>
      <w:r>
        <w:rPr>
          <w:spacing w:val="-13"/>
        </w:rPr>
        <w:t> </w:t>
      </w:r>
      <w:r>
        <w:rPr/>
        <w:t>the</w:t>
      </w:r>
      <w:r>
        <w:rPr>
          <w:spacing w:val="-13"/>
        </w:rPr>
        <w:t> </w:t>
      </w:r>
      <w:r>
        <w:rPr/>
        <w:t>Department</w:t>
      </w:r>
      <w:r>
        <w:rPr>
          <w:spacing w:val="-13"/>
        </w:rPr>
        <w:t> </w:t>
      </w:r>
      <w:r>
        <w:rPr/>
        <w:t>of</w:t>
      </w:r>
      <w:r>
        <w:rPr>
          <w:spacing w:val="-13"/>
        </w:rPr>
        <w:t> </w:t>
      </w:r>
      <w:r>
        <w:rPr/>
        <w:t>Geosciences</w:t>
      </w:r>
      <w:r>
        <w:rPr>
          <w:spacing w:val="-13"/>
        </w:rPr>
        <w:t> </w:t>
      </w:r>
      <w:r>
        <w:rPr/>
        <w:t>has</w:t>
      </w:r>
      <w:r>
        <w:rPr>
          <w:spacing w:val="-13"/>
        </w:rPr>
        <w:t> </w:t>
      </w:r>
      <w:r>
        <w:rPr/>
        <w:t>established</w:t>
      </w:r>
      <w:r>
        <w:rPr>
          <w:spacing w:val="-14"/>
        </w:rPr>
        <w:t> </w:t>
      </w:r>
      <w:r>
        <w:rPr/>
        <w:t>this</w:t>
      </w:r>
      <w:r>
        <w:rPr>
          <w:spacing w:val="-14"/>
        </w:rPr>
        <w:t> </w:t>
      </w:r>
      <w:r>
        <w:rPr/>
        <w:t>complementary policy for training in the responsible conduct of research and scholarship (RCRS). To ensure compliant completion of RCRS training for faculty, postdoctoral associates, research staff, graduate students, and undergraduate</w:t>
      </w:r>
      <w:r>
        <w:rPr>
          <w:spacing w:val="-8"/>
        </w:rPr>
        <w:t> </w:t>
      </w:r>
      <w:r>
        <w:rPr/>
        <w:t>students</w:t>
      </w:r>
      <w:r>
        <w:rPr>
          <w:spacing w:val="-9"/>
        </w:rPr>
        <w:t> </w:t>
      </w:r>
      <w:r>
        <w:rPr/>
        <w:t>involved</w:t>
      </w:r>
      <w:r>
        <w:rPr>
          <w:spacing w:val="-8"/>
        </w:rPr>
        <w:t> </w:t>
      </w:r>
      <w:r>
        <w:rPr/>
        <w:t>in</w:t>
      </w:r>
      <w:r>
        <w:rPr>
          <w:spacing w:val="-7"/>
        </w:rPr>
        <w:t> </w:t>
      </w:r>
      <w:r>
        <w:rPr/>
        <w:t>research</w:t>
      </w:r>
      <w:r>
        <w:rPr>
          <w:spacing w:val="-8"/>
        </w:rPr>
        <w:t> </w:t>
      </w:r>
      <w:r>
        <w:rPr/>
        <w:t>and</w:t>
      </w:r>
      <w:r>
        <w:rPr>
          <w:spacing w:val="-10"/>
        </w:rPr>
        <w:t> </w:t>
      </w:r>
      <w:r>
        <w:rPr/>
        <w:t>scholarship</w:t>
      </w:r>
      <w:r>
        <w:rPr>
          <w:spacing w:val="-7"/>
        </w:rPr>
        <w:t> </w:t>
      </w:r>
      <w:r>
        <w:rPr/>
        <w:t>(the</w:t>
      </w:r>
      <w:r>
        <w:rPr>
          <w:spacing w:val="-9"/>
        </w:rPr>
        <w:t> </w:t>
      </w:r>
      <w:r>
        <w:rPr/>
        <w:t>creation</w:t>
      </w:r>
      <w:r>
        <w:rPr>
          <w:spacing w:val="-8"/>
        </w:rPr>
        <w:t> </w:t>
      </w:r>
      <w:r>
        <w:rPr/>
        <w:t>of</w:t>
      </w:r>
      <w:r>
        <w:rPr>
          <w:spacing w:val="-7"/>
        </w:rPr>
        <w:t> </w:t>
      </w:r>
      <w:r>
        <w:rPr/>
        <w:t>new</w:t>
      </w:r>
      <w:r>
        <w:rPr>
          <w:spacing w:val="-12"/>
        </w:rPr>
        <w:t> </w:t>
      </w:r>
      <w:r>
        <w:rPr/>
        <w:t>knowledge</w:t>
      </w:r>
      <w:r>
        <w:rPr>
          <w:spacing w:val="-7"/>
        </w:rPr>
        <w:t> </w:t>
      </w:r>
      <w:r>
        <w:rPr/>
        <w:t>or</w:t>
      </w:r>
      <w:r>
        <w:rPr>
          <w:spacing w:val="-7"/>
        </w:rPr>
        <w:t> </w:t>
      </w:r>
      <w:r>
        <w:rPr/>
        <w:t>the</w:t>
      </w:r>
      <w:r>
        <w:rPr>
          <w:spacing w:val="-9"/>
        </w:rPr>
        <w:t> </w:t>
      </w:r>
      <w:r>
        <w:rPr/>
        <w:t>creation of novel expressions of knowledge in any form), these individuals will complete </w:t>
      </w:r>
      <w:r>
        <w:rPr>
          <w:spacing w:val="-3"/>
        </w:rPr>
        <w:t>RCRS </w:t>
      </w:r>
      <w:r>
        <w:rPr/>
        <w:t>training consisting of two</w:t>
      </w:r>
      <w:r>
        <w:rPr>
          <w:spacing w:val="-3"/>
        </w:rPr>
        <w:t> </w:t>
      </w:r>
      <w:r>
        <w:rPr/>
        <w:t>components:</w:t>
      </w:r>
    </w:p>
    <w:p>
      <w:pPr>
        <w:pStyle w:val="ListParagraph"/>
        <w:numPr>
          <w:ilvl w:val="0"/>
          <w:numId w:val="1"/>
        </w:numPr>
        <w:tabs>
          <w:tab w:pos="1605" w:val="left" w:leader="none"/>
        </w:tabs>
        <w:spacing w:line="240" w:lineRule="auto" w:before="1" w:after="0"/>
        <w:ind w:left="1604" w:right="0" w:hanging="314"/>
        <w:jc w:val="both"/>
        <w:rPr>
          <w:sz w:val="22"/>
        </w:rPr>
      </w:pPr>
      <w:r>
        <w:rPr>
          <w:sz w:val="22"/>
        </w:rPr>
        <w:t>On-line ‘CITI’ Training</w:t>
      </w:r>
      <w:r>
        <w:rPr>
          <w:spacing w:val="-6"/>
          <w:sz w:val="22"/>
        </w:rPr>
        <w:t> </w:t>
      </w:r>
      <w:r>
        <w:rPr>
          <w:sz w:val="22"/>
        </w:rPr>
        <w:t>and</w:t>
      </w:r>
    </w:p>
    <w:p>
      <w:pPr>
        <w:pStyle w:val="ListParagraph"/>
        <w:numPr>
          <w:ilvl w:val="0"/>
          <w:numId w:val="1"/>
        </w:numPr>
        <w:tabs>
          <w:tab w:pos="1605" w:val="left" w:leader="none"/>
        </w:tabs>
        <w:spacing w:line="240" w:lineRule="auto" w:before="21" w:after="0"/>
        <w:ind w:left="1604" w:right="0" w:hanging="314"/>
        <w:jc w:val="both"/>
        <w:rPr>
          <w:sz w:val="22"/>
        </w:rPr>
      </w:pPr>
      <w:r>
        <w:rPr>
          <w:sz w:val="22"/>
        </w:rPr>
        <w:t>In-Person Training</w:t>
      </w:r>
      <w:r>
        <w:rPr>
          <w:spacing w:val="-6"/>
          <w:sz w:val="22"/>
        </w:rPr>
        <w:t> </w:t>
      </w:r>
      <w:r>
        <w:rPr>
          <w:sz w:val="22"/>
        </w:rPr>
        <w:t>(IPT)</w:t>
      </w:r>
    </w:p>
    <w:p>
      <w:pPr>
        <w:pStyle w:val="BodyText"/>
        <w:spacing w:before="4"/>
        <w:rPr>
          <w:sz w:val="25"/>
        </w:rPr>
      </w:pPr>
    </w:p>
    <w:p>
      <w:pPr>
        <w:pStyle w:val="BodyText"/>
        <w:spacing w:line="249" w:lineRule="auto"/>
        <w:ind w:left="115" w:right="108" w:hanging="10"/>
        <w:jc w:val="both"/>
      </w:pPr>
      <w:r>
        <w:rPr/>
        <w:t>This RCRS policy of the Department of Geosciences provides suggested topics and the location of additional resources for IPT activities, guidelines for departmental record keeping, and notification of training requirements.</w:t>
      </w:r>
    </w:p>
    <w:p>
      <w:pPr>
        <w:pStyle w:val="BodyText"/>
        <w:spacing w:before="5"/>
        <w:rPr>
          <w:sz w:val="24"/>
        </w:rPr>
      </w:pPr>
    </w:p>
    <w:p>
      <w:pPr>
        <w:pStyle w:val="Heading1"/>
        <w:numPr>
          <w:ilvl w:val="0"/>
          <w:numId w:val="2"/>
        </w:numPr>
        <w:tabs>
          <w:tab w:pos="346" w:val="left" w:leader="none"/>
        </w:tabs>
        <w:spacing w:line="240" w:lineRule="auto" w:before="1" w:after="0"/>
        <w:ind w:left="345" w:right="0" w:hanging="241"/>
        <w:jc w:val="both"/>
      </w:pPr>
      <w:r>
        <w:rPr/>
        <w:t>On-Line Training</w:t>
      </w:r>
      <w:r>
        <w:rPr>
          <w:spacing w:val="-1"/>
        </w:rPr>
        <w:t> </w:t>
      </w:r>
      <w:r>
        <w:rPr/>
        <w:t>Component</w:t>
      </w:r>
    </w:p>
    <w:p>
      <w:pPr>
        <w:pStyle w:val="BodyText"/>
        <w:spacing w:before="1"/>
        <w:rPr>
          <w:b/>
          <w:sz w:val="25"/>
        </w:rPr>
      </w:pPr>
    </w:p>
    <w:p>
      <w:pPr>
        <w:pStyle w:val="BodyText"/>
        <w:ind w:left="115" w:right="745" w:hanging="10"/>
        <w:jc w:val="both"/>
      </w:pPr>
      <w:r>
        <w:rPr/>
        <w:t>Following SBU Policy P211, the following groups of researchers are required to satisfy a </w:t>
      </w:r>
      <w:r>
        <w:rPr>
          <w:b/>
        </w:rPr>
        <w:t>one-time completion </w:t>
      </w:r>
      <w:r>
        <w:rPr/>
        <w:t>of relevant RCRS modules available through the web-based Collaborative Institutional Training Initiative (CITI) as specified below:</w:t>
      </w:r>
    </w:p>
    <w:p>
      <w:pPr>
        <w:pStyle w:val="BodyText"/>
        <w:spacing w:before="9"/>
        <w:rPr>
          <w:sz w:val="23"/>
        </w:rPr>
      </w:pPr>
    </w:p>
    <w:p>
      <w:pPr>
        <w:pStyle w:val="ListParagraph"/>
        <w:numPr>
          <w:ilvl w:val="1"/>
          <w:numId w:val="2"/>
        </w:numPr>
        <w:tabs>
          <w:tab w:pos="418" w:val="left" w:leader="none"/>
        </w:tabs>
        <w:spacing w:line="240" w:lineRule="auto" w:before="0" w:after="0"/>
        <w:ind w:left="417" w:right="0" w:hanging="289"/>
        <w:jc w:val="both"/>
        <w:rPr>
          <w:sz w:val="22"/>
        </w:rPr>
      </w:pPr>
      <w:r>
        <w:rPr>
          <w:sz w:val="22"/>
        </w:rPr>
        <w:t>Faculty, postdoctoral fellows, research staff, and graduate students in</w:t>
      </w:r>
      <w:r>
        <w:rPr>
          <w:spacing w:val="-6"/>
          <w:sz w:val="22"/>
        </w:rPr>
        <w:t> </w:t>
      </w:r>
      <w:r>
        <w:rPr>
          <w:sz w:val="22"/>
        </w:rPr>
        <w:t>Geosciences</w:t>
      </w:r>
    </w:p>
    <w:p>
      <w:pPr>
        <w:pStyle w:val="ListParagraph"/>
        <w:numPr>
          <w:ilvl w:val="1"/>
          <w:numId w:val="2"/>
        </w:numPr>
        <w:tabs>
          <w:tab w:pos="461" w:val="left" w:leader="none"/>
        </w:tabs>
        <w:spacing w:line="249" w:lineRule="auto" w:before="13" w:after="0"/>
        <w:ind w:left="479" w:right="108" w:hanging="351"/>
        <w:jc w:val="both"/>
        <w:rPr>
          <w:sz w:val="22"/>
        </w:rPr>
      </w:pPr>
      <w:r>
        <w:rPr>
          <w:sz w:val="22"/>
        </w:rPr>
        <w:t>Undergraduate Students involved in research and scholarship activities under the supervision of Department of Geosciences faculty, postdoctoral fellows, and graduate</w:t>
      </w:r>
      <w:r>
        <w:rPr>
          <w:spacing w:val="-6"/>
          <w:sz w:val="22"/>
        </w:rPr>
        <w:t> </w:t>
      </w:r>
      <w:r>
        <w:rPr>
          <w:sz w:val="22"/>
        </w:rPr>
        <w:t>students.</w:t>
      </w:r>
    </w:p>
    <w:p>
      <w:pPr>
        <w:pStyle w:val="ListParagraph"/>
        <w:numPr>
          <w:ilvl w:val="1"/>
          <w:numId w:val="2"/>
        </w:numPr>
        <w:tabs>
          <w:tab w:pos="430" w:val="left" w:leader="none"/>
        </w:tabs>
        <w:spacing w:line="249" w:lineRule="auto" w:before="5" w:after="0"/>
        <w:ind w:left="479" w:right="108" w:hanging="351"/>
        <w:jc w:val="both"/>
        <w:rPr>
          <w:sz w:val="22"/>
        </w:rPr>
      </w:pPr>
      <w:r>
        <w:rPr>
          <w:sz w:val="22"/>
        </w:rPr>
        <w:t>Visiting undergraduate students and visiting scholars who are participating in research activities with Department of Geosciences faculty and graduate students. For those visitors from another institution, this SBU RCRS training requirement may be waived by presenting proof of completion of RCRS training at their home</w:t>
      </w:r>
      <w:r>
        <w:rPr>
          <w:spacing w:val="-3"/>
          <w:sz w:val="22"/>
        </w:rPr>
        <w:t> </w:t>
      </w:r>
      <w:r>
        <w:rPr>
          <w:sz w:val="22"/>
        </w:rPr>
        <w:t>institution.</w:t>
      </w:r>
    </w:p>
    <w:p>
      <w:pPr>
        <w:pStyle w:val="ListParagraph"/>
        <w:numPr>
          <w:ilvl w:val="1"/>
          <w:numId w:val="2"/>
        </w:numPr>
        <w:tabs>
          <w:tab w:pos="452" w:val="left" w:leader="none"/>
        </w:tabs>
        <w:spacing w:line="240" w:lineRule="auto" w:before="3" w:after="0"/>
        <w:ind w:left="479" w:right="109" w:hanging="351"/>
        <w:jc w:val="both"/>
        <w:rPr>
          <w:sz w:val="22"/>
        </w:rPr>
      </w:pPr>
      <w:r>
        <w:rPr>
          <w:sz w:val="22"/>
        </w:rPr>
        <w:t>High School Students involved in research and scholarship activities supervised by Department of Geosciences faculty, postdoctoral fellows, and graduate</w:t>
      </w:r>
      <w:r>
        <w:rPr>
          <w:spacing w:val="-4"/>
          <w:sz w:val="22"/>
        </w:rPr>
        <w:t> </w:t>
      </w:r>
      <w:r>
        <w:rPr>
          <w:sz w:val="22"/>
        </w:rPr>
        <w:t>students.</w:t>
      </w:r>
    </w:p>
    <w:p>
      <w:pPr>
        <w:pStyle w:val="BodyText"/>
        <w:rPr>
          <w:sz w:val="24"/>
        </w:rPr>
      </w:pPr>
    </w:p>
    <w:p>
      <w:pPr>
        <w:pStyle w:val="BodyText"/>
        <w:spacing w:before="1"/>
        <w:rPr>
          <w:sz w:val="24"/>
        </w:rPr>
      </w:pPr>
    </w:p>
    <w:p>
      <w:pPr>
        <w:pStyle w:val="Heading1"/>
        <w:numPr>
          <w:ilvl w:val="0"/>
          <w:numId w:val="2"/>
        </w:numPr>
        <w:tabs>
          <w:tab w:pos="346" w:val="left" w:leader="none"/>
        </w:tabs>
        <w:spacing w:line="240" w:lineRule="auto" w:before="0" w:after="0"/>
        <w:ind w:left="345" w:right="0" w:hanging="241"/>
        <w:jc w:val="both"/>
      </w:pPr>
      <w:r>
        <w:rPr/>
        <w:t>In-Person Training (IPT)</w:t>
      </w:r>
      <w:r>
        <w:rPr>
          <w:spacing w:val="-4"/>
        </w:rPr>
        <w:t> </w:t>
      </w:r>
      <w:r>
        <w:rPr/>
        <w:t>Component</w:t>
      </w:r>
    </w:p>
    <w:p>
      <w:pPr>
        <w:pStyle w:val="BodyText"/>
        <w:spacing w:before="11"/>
        <w:rPr>
          <w:b/>
          <w:sz w:val="24"/>
        </w:rPr>
      </w:pPr>
    </w:p>
    <w:p>
      <w:pPr>
        <w:pStyle w:val="BodyText"/>
        <w:spacing w:line="249" w:lineRule="auto"/>
        <w:ind w:left="115" w:right="105" w:hanging="10"/>
        <w:jc w:val="both"/>
      </w:pPr>
      <w:r>
        <w:rPr/>
        <w:t>To comply with federal requirements, each individual engaged in research or scholarly activity must complete 8 hours of IPT every 4 years, or 2 hours of IPT annually. The Department of Geosciences encourages the completion of at least 1 hour of IPT in the Fall Semester and 1 hour of IPT in the Spring Semester of each academic year.</w:t>
      </w:r>
    </w:p>
    <w:p>
      <w:pPr>
        <w:pStyle w:val="BodyText"/>
        <w:spacing w:before="10"/>
        <w:rPr>
          <w:sz w:val="23"/>
        </w:rPr>
      </w:pPr>
    </w:p>
    <w:p>
      <w:pPr>
        <w:pStyle w:val="BodyText"/>
        <w:ind w:left="105"/>
      </w:pPr>
      <w:r>
        <w:rPr/>
        <w:t>The IPT activities and courses will include discussions of relevant topics, such as:</w:t>
      </w:r>
    </w:p>
    <w:p>
      <w:pPr>
        <w:pStyle w:val="ListParagraph"/>
        <w:numPr>
          <w:ilvl w:val="0"/>
          <w:numId w:val="3"/>
        </w:numPr>
        <w:tabs>
          <w:tab w:pos="677" w:val="left" w:leader="none"/>
        </w:tabs>
        <w:spacing w:line="240" w:lineRule="auto" w:before="15" w:after="0"/>
        <w:ind w:left="676" w:right="0" w:hanging="140"/>
        <w:jc w:val="left"/>
        <w:rPr>
          <w:sz w:val="22"/>
        </w:rPr>
      </w:pPr>
      <w:r>
        <w:rPr>
          <w:sz w:val="22"/>
        </w:rPr>
        <w:t>conflict of interest personal, professional, and</w:t>
      </w:r>
      <w:r>
        <w:rPr>
          <w:spacing w:val="-3"/>
          <w:sz w:val="22"/>
        </w:rPr>
        <w:t> </w:t>
      </w:r>
      <w:r>
        <w:rPr>
          <w:sz w:val="22"/>
        </w:rPr>
        <w:t>financial</w:t>
      </w:r>
    </w:p>
    <w:p>
      <w:pPr>
        <w:pStyle w:val="ListParagraph"/>
        <w:numPr>
          <w:ilvl w:val="0"/>
          <w:numId w:val="3"/>
        </w:numPr>
        <w:tabs>
          <w:tab w:pos="677" w:val="left" w:leader="none"/>
        </w:tabs>
        <w:spacing w:line="240" w:lineRule="auto" w:before="44" w:after="0"/>
        <w:ind w:left="676" w:right="0" w:hanging="140"/>
        <w:jc w:val="left"/>
        <w:rPr>
          <w:sz w:val="22"/>
        </w:rPr>
      </w:pPr>
      <w:r>
        <w:rPr>
          <w:sz w:val="22"/>
        </w:rPr>
        <w:t>mentor/mentee responsibilities and</w:t>
      </w:r>
      <w:r>
        <w:rPr>
          <w:spacing w:val="-6"/>
          <w:sz w:val="22"/>
        </w:rPr>
        <w:t> </w:t>
      </w:r>
      <w:r>
        <w:rPr>
          <w:sz w:val="22"/>
        </w:rPr>
        <w:t>relationships</w:t>
      </w:r>
    </w:p>
    <w:p>
      <w:pPr>
        <w:pStyle w:val="ListParagraph"/>
        <w:numPr>
          <w:ilvl w:val="0"/>
          <w:numId w:val="3"/>
        </w:numPr>
        <w:tabs>
          <w:tab w:pos="677" w:val="left" w:leader="none"/>
        </w:tabs>
        <w:spacing w:line="240" w:lineRule="auto" w:before="43" w:after="0"/>
        <w:ind w:left="676" w:right="0" w:hanging="140"/>
        <w:jc w:val="left"/>
        <w:rPr>
          <w:sz w:val="22"/>
        </w:rPr>
      </w:pPr>
      <w:r>
        <w:rPr>
          <w:sz w:val="22"/>
        </w:rPr>
        <w:t>collaborative research including collaborations with</w:t>
      </w:r>
      <w:r>
        <w:rPr>
          <w:spacing w:val="-6"/>
          <w:sz w:val="22"/>
        </w:rPr>
        <w:t> </w:t>
      </w:r>
      <w:r>
        <w:rPr>
          <w:sz w:val="22"/>
        </w:rPr>
        <w:t>industry</w:t>
      </w:r>
    </w:p>
    <w:p>
      <w:pPr>
        <w:pStyle w:val="ListParagraph"/>
        <w:numPr>
          <w:ilvl w:val="0"/>
          <w:numId w:val="3"/>
        </w:numPr>
        <w:tabs>
          <w:tab w:pos="677" w:val="left" w:leader="none"/>
        </w:tabs>
        <w:spacing w:line="240" w:lineRule="auto" w:before="39" w:after="0"/>
        <w:ind w:left="676" w:right="0" w:hanging="140"/>
        <w:jc w:val="left"/>
        <w:rPr>
          <w:sz w:val="22"/>
        </w:rPr>
      </w:pPr>
      <w:r>
        <w:rPr>
          <w:sz w:val="22"/>
        </w:rPr>
        <w:t>peer</w:t>
      </w:r>
      <w:r>
        <w:rPr>
          <w:spacing w:val="-2"/>
          <w:sz w:val="22"/>
        </w:rPr>
        <w:t> </w:t>
      </w:r>
      <w:r>
        <w:rPr>
          <w:sz w:val="22"/>
        </w:rPr>
        <w:t>review</w:t>
      </w:r>
    </w:p>
    <w:p>
      <w:pPr>
        <w:pStyle w:val="ListParagraph"/>
        <w:numPr>
          <w:ilvl w:val="0"/>
          <w:numId w:val="3"/>
        </w:numPr>
        <w:tabs>
          <w:tab w:pos="677" w:val="left" w:leader="none"/>
        </w:tabs>
        <w:spacing w:line="240" w:lineRule="auto" w:before="44" w:after="0"/>
        <w:ind w:left="676" w:right="0" w:hanging="140"/>
        <w:jc w:val="left"/>
        <w:rPr>
          <w:sz w:val="22"/>
        </w:rPr>
      </w:pPr>
      <w:r>
        <w:rPr>
          <w:sz w:val="22"/>
        </w:rPr>
        <w:t>data acquisition and research tools; management, sharing and</w:t>
      </w:r>
      <w:r>
        <w:rPr>
          <w:spacing w:val="-9"/>
          <w:sz w:val="22"/>
        </w:rPr>
        <w:t> </w:t>
      </w:r>
      <w:r>
        <w:rPr>
          <w:sz w:val="22"/>
        </w:rPr>
        <w:t>ownership</w:t>
      </w:r>
    </w:p>
    <w:p>
      <w:pPr>
        <w:spacing w:after="0" w:line="240" w:lineRule="auto"/>
        <w:jc w:val="left"/>
        <w:rPr>
          <w:sz w:val="22"/>
        </w:rPr>
        <w:sectPr>
          <w:footerReference w:type="default" r:id="rId5"/>
          <w:type w:val="continuous"/>
          <w:pgSz w:w="12240" w:h="15840"/>
          <w:pgMar w:footer="1041" w:top="1360" w:bottom="1240" w:left="1320" w:right="1320"/>
          <w:pgNumType w:start="1"/>
        </w:sectPr>
      </w:pPr>
    </w:p>
    <w:p>
      <w:pPr>
        <w:pStyle w:val="ListParagraph"/>
        <w:numPr>
          <w:ilvl w:val="0"/>
          <w:numId w:val="3"/>
        </w:numPr>
        <w:tabs>
          <w:tab w:pos="677" w:val="left" w:leader="none"/>
        </w:tabs>
        <w:spacing w:line="240" w:lineRule="auto" w:before="75" w:after="0"/>
        <w:ind w:left="676" w:right="0" w:hanging="140"/>
        <w:jc w:val="left"/>
        <w:rPr>
          <w:sz w:val="22"/>
        </w:rPr>
      </w:pPr>
      <w:r>
        <w:rPr>
          <w:sz w:val="22"/>
        </w:rPr>
        <w:t>research misconduct and policies for handling</w:t>
      </w:r>
      <w:r>
        <w:rPr>
          <w:spacing w:val="-3"/>
          <w:sz w:val="22"/>
        </w:rPr>
        <w:t> </w:t>
      </w:r>
      <w:r>
        <w:rPr>
          <w:sz w:val="22"/>
        </w:rPr>
        <w:t>misconduct</w:t>
      </w:r>
    </w:p>
    <w:p>
      <w:pPr>
        <w:pStyle w:val="ListParagraph"/>
        <w:numPr>
          <w:ilvl w:val="0"/>
          <w:numId w:val="3"/>
        </w:numPr>
        <w:tabs>
          <w:tab w:pos="677" w:val="left" w:leader="none"/>
        </w:tabs>
        <w:spacing w:line="240" w:lineRule="auto" w:before="43" w:after="0"/>
        <w:ind w:left="676" w:right="0" w:hanging="140"/>
        <w:jc w:val="left"/>
        <w:rPr>
          <w:sz w:val="22"/>
        </w:rPr>
      </w:pPr>
      <w:r>
        <w:rPr>
          <w:sz w:val="22"/>
        </w:rPr>
        <w:t>responsible authorship and</w:t>
      </w:r>
      <w:r>
        <w:rPr>
          <w:spacing w:val="-6"/>
          <w:sz w:val="22"/>
        </w:rPr>
        <w:t> </w:t>
      </w:r>
      <w:r>
        <w:rPr>
          <w:sz w:val="22"/>
        </w:rPr>
        <w:t>publication</w:t>
      </w:r>
    </w:p>
    <w:p>
      <w:pPr>
        <w:pStyle w:val="ListParagraph"/>
        <w:numPr>
          <w:ilvl w:val="0"/>
          <w:numId w:val="3"/>
        </w:numPr>
        <w:tabs>
          <w:tab w:pos="677" w:val="left" w:leader="none"/>
        </w:tabs>
        <w:spacing w:line="249" w:lineRule="auto" w:before="42" w:after="0"/>
        <w:ind w:left="676" w:right="110" w:hanging="140"/>
        <w:jc w:val="left"/>
        <w:rPr>
          <w:sz w:val="22"/>
        </w:rPr>
      </w:pPr>
      <w:r>
        <w:rPr>
          <w:sz w:val="22"/>
        </w:rPr>
        <w:t>the scholar as a responsible member of society, contemporary ethical issues and the environmental and societal impacts of</w:t>
      </w:r>
      <w:r>
        <w:rPr>
          <w:spacing w:val="-3"/>
          <w:sz w:val="22"/>
        </w:rPr>
        <w:t> </w:t>
      </w:r>
      <w:r>
        <w:rPr>
          <w:sz w:val="22"/>
        </w:rPr>
        <w:t>research</w:t>
      </w:r>
    </w:p>
    <w:p>
      <w:pPr>
        <w:pStyle w:val="ListParagraph"/>
        <w:numPr>
          <w:ilvl w:val="0"/>
          <w:numId w:val="3"/>
        </w:numPr>
        <w:tabs>
          <w:tab w:pos="677" w:val="left" w:leader="none"/>
        </w:tabs>
        <w:spacing w:line="240" w:lineRule="auto" w:before="3" w:after="0"/>
        <w:ind w:left="676" w:right="0" w:hanging="140"/>
        <w:jc w:val="left"/>
        <w:rPr>
          <w:sz w:val="22"/>
        </w:rPr>
      </w:pPr>
      <w:r>
        <w:rPr>
          <w:sz w:val="22"/>
        </w:rPr>
        <w:t>safe laboratory</w:t>
      </w:r>
      <w:r>
        <w:rPr>
          <w:spacing w:val="-5"/>
          <w:sz w:val="22"/>
        </w:rPr>
        <w:t> </w:t>
      </w:r>
      <w:r>
        <w:rPr>
          <w:sz w:val="22"/>
        </w:rPr>
        <w:t>practices</w:t>
      </w:r>
    </w:p>
    <w:p>
      <w:pPr>
        <w:pStyle w:val="BodyText"/>
        <w:spacing w:before="2"/>
        <w:rPr>
          <w:sz w:val="25"/>
        </w:rPr>
      </w:pPr>
    </w:p>
    <w:p>
      <w:pPr>
        <w:pStyle w:val="BodyText"/>
        <w:spacing w:line="249" w:lineRule="auto"/>
        <w:ind w:left="115" w:right="108" w:hanging="10"/>
        <w:jc w:val="both"/>
      </w:pPr>
      <w:r>
        <w:rPr>
          <w:spacing w:val="-3"/>
        </w:rPr>
        <w:t>It </w:t>
      </w:r>
      <w:r>
        <w:rPr/>
        <w:t>is expected that discussion of such RCRS topics will occur in the normal course of organized, structured research activities and during research group meetings involving faculty, postdocs, research staff, and students. Additional mechanisms available for training include access to the </w:t>
      </w:r>
      <w:r>
        <w:rPr>
          <w:spacing w:val="-2"/>
        </w:rPr>
        <w:t>GRD </w:t>
      </w:r>
      <w:r>
        <w:rPr/>
        <w:t>500 sessions to initiate IPT</w:t>
      </w:r>
      <w:r>
        <w:rPr>
          <w:spacing w:val="-8"/>
        </w:rPr>
        <w:t> </w:t>
      </w:r>
      <w:r>
        <w:rPr/>
        <w:t>activities,</w:t>
      </w:r>
      <w:r>
        <w:rPr>
          <w:spacing w:val="-11"/>
        </w:rPr>
        <w:t> </w:t>
      </w:r>
      <w:r>
        <w:rPr/>
        <w:t>and</w:t>
      </w:r>
      <w:r>
        <w:rPr>
          <w:spacing w:val="-11"/>
        </w:rPr>
        <w:t> </w:t>
      </w:r>
      <w:r>
        <w:rPr/>
        <w:t>other</w:t>
      </w:r>
      <w:r>
        <w:rPr>
          <w:spacing w:val="-10"/>
        </w:rPr>
        <w:t> </w:t>
      </w:r>
      <w:r>
        <w:rPr/>
        <w:t>suggestions</w:t>
      </w:r>
      <w:r>
        <w:rPr>
          <w:spacing w:val="-8"/>
        </w:rPr>
        <w:t> </w:t>
      </w:r>
      <w:r>
        <w:rPr/>
        <w:t>and</w:t>
      </w:r>
      <w:r>
        <w:rPr>
          <w:spacing w:val="-9"/>
        </w:rPr>
        <w:t> </w:t>
      </w:r>
      <w:r>
        <w:rPr/>
        <w:t>resources,</w:t>
      </w:r>
      <w:r>
        <w:rPr>
          <w:spacing w:val="-10"/>
        </w:rPr>
        <w:t> </w:t>
      </w:r>
      <w:r>
        <w:rPr/>
        <w:t>such</w:t>
      </w:r>
      <w:r>
        <w:rPr>
          <w:spacing w:val="-9"/>
        </w:rPr>
        <w:t> </w:t>
      </w:r>
      <w:r>
        <w:rPr/>
        <w:t>as</w:t>
      </w:r>
      <w:r>
        <w:rPr>
          <w:spacing w:val="-11"/>
        </w:rPr>
        <w:t> </w:t>
      </w:r>
      <w:r>
        <w:rPr/>
        <w:t>case</w:t>
      </w:r>
      <w:r>
        <w:rPr>
          <w:spacing w:val="-11"/>
        </w:rPr>
        <w:t> </w:t>
      </w:r>
      <w:r>
        <w:rPr/>
        <w:t>studies,</w:t>
      </w:r>
      <w:r>
        <w:rPr>
          <w:spacing w:val="-11"/>
        </w:rPr>
        <w:t> </w:t>
      </w:r>
      <w:r>
        <w:rPr/>
        <w:t>to</w:t>
      </w:r>
      <w:r>
        <w:rPr>
          <w:spacing w:val="-8"/>
        </w:rPr>
        <w:t> </w:t>
      </w:r>
      <w:r>
        <w:rPr/>
        <w:t>be</w:t>
      </w:r>
      <w:r>
        <w:rPr>
          <w:spacing w:val="-8"/>
        </w:rPr>
        <w:t> </w:t>
      </w:r>
      <w:r>
        <w:rPr/>
        <w:t>maintained</w:t>
      </w:r>
      <w:r>
        <w:rPr>
          <w:spacing w:val="-11"/>
        </w:rPr>
        <w:t> </w:t>
      </w:r>
      <w:r>
        <w:rPr/>
        <w:t>as</w:t>
      </w:r>
      <w:r>
        <w:rPr>
          <w:spacing w:val="-10"/>
        </w:rPr>
        <w:t> </w:t>
      </w:r>
      <w:r>
        <w:rPr/>
        <w:t>documents</w:t>
      </w:r>
      <w:r>
        <w:rPr>
          <w:spacing w:val="-10"/>
        </w:rPr>
        <w:t> </w:t>
      </w:r>
      <w:r>
        <w:rPr/>
        <w:t>and links on the Department web page. </w:t>
      </w:r>
      <w:r>
        <w:rPr>
          <w:spacing w:val="-3"/>
        </w:rPr>
        <w:t>In </w:t>
      </w:r>
      <w:r>
        <w:rPr/>
        <w:t>addition, the Department of Geosciences will sponsor at least one colloquium each academic year devoted to one or more of the IPT topics listed</w:t>
      </w:r>
      <w:r>
        <w:rPr>
          <w:spacing w:val="-14"/>
        </w:rPr>
        <w:t> </w:t>
      </w:r>
      <w:r>
        <w:rPr/>
        <w:t>above.</w:t>
      </w:r>
    </w:p>
    <w:p>
      <w:pPr>
        <w:pStyle w:val="BodyText"/>
        <w:rPr>
          <w:sz w:val="24"/>
        </w:rPr>
      </w:pPr>
    </w:p>
    <w:p>
      <w:pPr>
        <w:pStyle w:val="BodyText"/>
        <w:spacing w:before="10"/>
        <w:rPr>
          <w:sz w:val="23"/>
        </w:rPr>
      </w:pPr>
    </w:p>
    <w:p>
      <w:pPr>
        <w:pStyle w:val="Heading1"/>
        <w:numPr>
          <w:ilvl w:val="0"/>
          <w:numId w:val="2"/>
        </w:numPr>
        <w:tabs>
          <w:tab w:pos="346" w:val="left" w:leader="none"/>
        </w:tabs>
        <w:spacing w:line="240" w:lineRule="auto" w:before="0" w:after="0"/>
        <w:ind w:left="345" w:right="0" w:hanging="241"/>
        <w:jc w:val="left"/>
      </w:pPr>
      <w:r>
        <w:rPr/>
        <w:t>Record Keeping and Mechanisms to Ensure</w:t>
      </w:r>
      <w:r>
        <w:rPr>
          <w:spacing w:val="-6"/>
        </w:rPr>
        <w:t> </w:t>
      </w:r>
      <w:r>
        <w:rPr/>
        <w:t>Compliance</w:t>
      </w:r>
    </w:p>
    <w:p>
      <w:pPr>
        <w:pStyle w:val="BodyText"/>
        <w:spacing w:before="2"/>
        <w:rPr>
          <w:b/>
          <w:sz w:val="25"/>
        </w:rPr>
      </w:pPr>
    </w:p>
    <w:p>
      <w:pPr>
        <w:pStyle w:val="BodyText"/>
        <w:spacing w:line="249" w:lineRule="auto"/>
        <w:ind w:left="115" w:right="107" w:hanging="10"/>
        <w:jc w:val="both"/>
      </w:pPr>
      <w:r>
        <w:rPr/>
        <w:t>Principal Investigators of federal grants (e.g., NSF) with specific RCRS requirements will have primary responsibility for ensuring compliance with RCRS training requirements for trainees supported by those grants. It is the responsibility of each PI or Co-PI to ensure that they have completed the specific RCRS training requirements.</w:t>
      </w:r>
    </w:p>
    <w:p>
      <w:pPr>
        <w:pStyle w:val="BodyText"/>
        <w:spacing w:before="10"/>
        <w:rPr>
          <w:sz w:val="23"/>
        </w:rPr>
      </w:pPr>
    </w:p>
    <w:p>
      <w:pPr>
        <w:pStyle w:val="BodyText"/>
        <w:spacing w:line="249" w:lineRule="auto"/>
        <w:ind w:left="115" w:right="108" w:hanging="10"/>
        <w:jc w:val="both"/>
      </w:pPr>
      <w:r>
        <w:rPr/>
        <w:t>Any activity intended to satisfy the RCRS training requirement must be supported by appropriate documentation (attendance, topics covered, etc.).</w:t>
      </w:r>
    </w:p>
    <w:p>
      <w:pPr>
        <w:pStyle w:val="BodyText"/>
        <w:spacing w:before="2"/>
        <w:rPr>
          <w:sz w:val="24"/>
        </w:rPr>
      </w:pPr>
    </w:p>
    <w:p>
      <w:pPr>
        <w:pStyle w:val="BodyText"/>
        <w:spacing w:line="249" w:lineRule="auto"/>
        <w:ind w:left="115" w:right="108" w:hanging="10"/>
        <w:jc w:val="both"/>
      </w:pPr>
      <w:r>
        <w:rPr/>
        <w:t>Tracking</w:t>
      </w:r>
      <w:r>
        <w:rPr>
          <w:spacing w:val="-6"/>
        </w:rPr>
        <w:t> </w:t>
      </w:r>
      <w:r>
        <w:rPr/>
        <w:t>of</w:t>
      </w:r>
      <w:r>
        <w:rPr>
          <w:spacing w:val="-3"/>
        </w:rPr>
        <w:t> </w:t>
      </w:r>
      <w:r>
        <w:rPr/>
        <w:t>IPT</w:t>
      </w:r>
      <w:r>
        <w:rPr>
          <w:spacing w:val="-2"/>
        </w:rPr>
        <w:t> </w:t>
      </w:r>
      <w:r>
        <w:rPr/>
        <w:t>for</w:t>
      </w:r>
      <w:r>
        <w:rPr>
          <w:spacing w:val="-3"/>
        </w:rPr>
        <w:t> </w:t>
      </w:r>
      <w:r>
        <w:rPr/>
        <w:t>undergraduate</w:t>
      </w:r>
      <w:r>
        <w:rPr>
          <w:spacing w:val="-5"/>
        </w:rPr>
        <w:t> </w:t>
      </w:r>
      <w:r>
        <w:rPr/>
        <w:t>students,</w:t>
      </w:r>
      <w:r>
        <w:rPr>
          <w:spacing w:val="-2"/>
        </w:rPr>
        <w:t> </w:t>
      </w:r>
      <w:r>
        <w:rPr/>
        <w:t>graduate</w:t>
      </w:r>
      <w:r>
        <w:rPr>
          <w:spacing w:val="-4"/>
        </w:rPr>
        <w:t> </w:t>
      </w:r>
      <w:r>
        <w:rPr/>
        <w:t>students,</w:t>
      </w:r>
      <w:r>
        <w:rPr>
          <w:spacing w:val="-6"/>
        </w:rPr>
        <w:t> </w:t>
      </w:r>
      <w:r>
        <w:rPr/>
        <w:t>and</w:t>
      </w:r>
      <w:r>
        <w:rPr>
          <w:spacing w:val="-3"/>
        </w:rPr>
        <w:t> </w:t>
      </w:r>
      <w:r>
        <w:rPr/>
        <w:t>supervising</w:t>
      </w:r>
      <w:r>
        <w:rPr>
          <w:spacing w:val="-7"/>
        </w:rPr>
        <w:t> </w:t>
      </w:r>
      <w:r>
        <w:rPr/>
        <w:t>faculty</w:t>
      </w:r>
      <w:r>
        <w:rPr>
          <w:spacing w:val="-6"/>
        </w:rPr>
        <w:t> </w:t>
      </w:r>
      <w:r>
        <w:rPr/>
        <w:t>will</w:t>
      </w:r>
      <w:r>
        <w:rPr>
          <w:spacing w:val="-2"/>
        </w:rPr>
        <w:t> </w:t>
      </w:r>
      <w:r>
        <w:rPr/>
        <w:t>be</w:t>
      </w:r>
      <w:r>
        <w:rPr>
          <w:spacing w:val="-6"/>
        </w:rPr>
        <w:t> </w:t>
      </w:r>
      <w:r>
        <w:rPr/>
        <w:t>documented through</w:t>
      </w:r>
      <w:r>
        <w:rPr>
          <w:spacing w:val="-9"/>
        </w:rPr>
        <w:t> </w:t>
      </w:r>
      <w:r>
        <w:rPr/>
        <w:t>enrollment</w:t>
      </w:r>
      <w:r>
        <w:rPr>
          <w:spacing w:val="-10"/>
        </w:rPr>
        <w:t> </w:t>
      </w:r>
      <w:r>
        <w:rPr/>
        <w:t>in</w:t>
      </w:r>
      <w:r>
        <w:rPr>
          <w:spacing w:val="-7"/>
        </w:rPr>
        <w:t> </w:t>
      </w:r>
      <w:r>
        <w:rPr/>
        <w:t>GEO</w:t>
      </w:r>
      <w:r>
        <w:rPr>
          <w:spacing w:val="-13"/>
        </w:rPr>
        <w:t> </w:t>
      </w:r>
      <w:r>
        <w:rPr/>
        <w:t>491/591</w:t>
      </w:r>
      <w:r>
        <w:rPr>
          <w:spacing w:val="-8"/>
        </w:rPr>
        <w:t> </w:t>
      </w:r>
      <w:r>
        <w:rPr/>
        <w:t>(Responsible</w:t>
      </w:r>
      <w:r>
        <w:rPr>
          <w:spacing w:val="-7"/>
        </w:rPr>
        <w:t> </w:t>
      </w:r>
      <w:r>
        <w:rPr/>
        <w:t>Research</w:t>
      </w:r>
      <w:r>
        <w:rPr>
          <w:spacing w:val="-8"/>
        </w:rPr>
        <w:t> </w:t>
      </w:r>
      <w:r>
        <w:rPr/>
        <w:t>Conduct).</w:t>
      </w:r>
      <w:r>
        <w:rPr>
          <w:spacing w:val="37"/>
        </w:rPr>
        <w:t> </w:t>
      </w:r>
      <w:r>
        <w:rPr/>
        <w:t>GEO</w:t>
      </w:r>
      <w:r>
        <w:rPr>
          <w:spacing w:val="-10"/>
        </w:rPr>
        <w:t> </w:t>
      </w:r>
      <w:r>
        <w:rPr/>
        <w:t>491</w:t>
      </w:r>
      <w:r>
        <w:rPr>
          <w:spacing w:val="-9"/>
        </w:rPr>
        <w:t> </w:t>
      </w:r>
      <w:r>
        <w:rPr/>
        <w:t>will</w:t>
      </w:r>
      <w:r>
        <w:rPr>
          <w:spacing w:val="-7"/>
        </w:rPr>
        <w:t> </w:t>
      </w:r>
      <w:r>
        <w:rPr/>
        <w:t>be</w:t>
      </w:r>
      <w:r>
        <w:rPr>
          <w:spacing w:val="-11"/>
        </w:rPr>
        <w:t> </w:t>
      </w:r>
      <w:r>
        <w:rPr/>
        <w:t>a</w:t>
      </w:r>
      <w:r>
        <w:rPr>
          <w:spacing w:val="-8"/>
        </w:rPr>
        <w:t> </w:t>
      </w:r>
      <w:r>
        <w:rPr/>
        <w:t>required</w:t>
      </w:r>
      <w:r>
        <w:rPr>
          <w:spacing w:val="-10"/>
        </w:rPr>
        <w:t> </w:t>
      </w:r>
      <w:r>
        <w:rPr/>
        <w:t>0-credit co-requisite for GEO 487 (Senior Research in Geology).</w:t>
      </w:r>
      <w:r>
        <w:rPr>
          <w:spacing w:val="54"/>
        </w:rPr>
        <w:t> </w:t>
      </w:r>
      <w:r>
        <w:rPr/>
        <w:t>GEO 591 will be a required 0-credit co-requisite for GEO 589 (Research for Earth Science Teachers), GEO 590 (Research Project), GEO 599 (Research), GEO 699 (Dissertation Research on Campus), GEO 700 (Dissertation Research off Campus – Domestic), and</w:t>
      </w:r>
      <w:r>
        <w:rPr>
          <w:spacing w:val="-6"/>
        </w:rPr>
        <w:t> </w:t>
      </w:r>
      <w:r>
        <w:rPr/>
        <w:t>GEO</w:t>
      </w:r>
      <w:r>
        <w:rPr>
          <w:spacing w:val="-7"/>
        </w:rPr>
        <w:t> </w:t>
      </w:r>
      <w:r>
        <w:rPr/>
        <w:t>701</w:t>
      </w:r>
      <w:r>
        <w:rPr>
          <w:spacing w:val="-6"/>
        </w:rPr>
        <w:t> </w:t>
      </w:r>
      <w:r>
        <w:rPr/>
        <w:t>(Dissertation</w:t>
      </w:r>
      <w:r>
        <w:rPr>
          <w:spacing w:val="-9"/>
        </w:rPr>
        <w:t> </w:t>
      </w:r>
      <w:r>
        <w:rPr/>
        <w:t>Research</w:t>
      </w:r>
      <w:r>
        <w:rPr>
          <w:spacing w:val="-5"/>
        </w:rPr>
        <w:t> </w:t>
      </w:r>
      <w:r>
        <w:rPr/>
        <w:t>off</w:t>
      </w:r>
      <w:r>
        <w:rPr>
          <w:spacing w:val="-4"/>
        </w:rPr>
        <w:t> </w:t>
      </w:r>
      <w:r>
        <w:rPr/>
        <w:t>Campus</w:t>
      </w:r>
      <w:r>
        <w:rPr>
          <w:spacing w:val="-6"/>
        </w:rPr>
        <w:t> </w:t>
      </w:r>
      <w:r>
        <w:rPr/>
        <w:t>–</w:t>
      </w:r>
      <w:r>
        <w:rPr>
          <w:spacing w:val="-5"/>
        </w:rPr>
        <w:t> </w:t>
      </w:r>
      <w:r>
        <w:rPr/>
        <w:t>International).</w:t>
      </w:r>
      <w:r>
        <w:rPr>
          <w:spacing w:val="45"/>
        </w:rPr>
        <w:t> </w:t>
      </w:r>
      <w:r>
        <w:rPr/>
        <w:t>A</w:t>
      </w:r>
      <w:r>
        <w:rPr>
          <w:spacing w:val="-7"/>
        </w:rPr>
        <w:t> </w:t>
      </w:r>
      <w:r>
        <w:rPr/>
        <w:t>grade</w:t>
      </w:r>
      <w:r>
        <w:rPr>
          <w:spacing w:val="-5"/>
        </w:rPr>
        <w:t> </w:t>
      </w:r>
      <w:r>
        <w:rPr/>
        <w:t>of</w:t>
      </w:r>
      <w:r>
        <w:rPr>
          <w:spacing w:val="-5"/>
        </w:rPr>
        <w:t> </w:t>
      </w:r>
      <w:r>
        <w:rPr/>
        <w:t>“S”</w:t>
      </w:r>
      <w:r>
        <w:rPr>
          <w:spacing w:val="-5"/>
        </w:rPr>
        <w:t> </w:t>
      </w:r>
      <w:r>
        <w:rPr/>
        <w:t>for</w:t>
      </w:r>
      <w:r>
        <w:rPr>
          <w:spacing w:val="-5"/>
        </w:rPr>
        <w:t> </w:t>
      </w:r>
      <w:r>
        <w:rPr/>
        <w:t>GEO</w:t>
      </w:r>
      <w:r>
        <w:rPr>
          <w:spacing w:val="-6"/>
        </w:rPr>
        <w:t> </w:t>
      </w:r>
      <w:r>
        <w:rPr/>
        <w:t>491/591</w:t>
      </w:r>
      <w:r>
        <w:rPr>
          <w:spacing w:val="-9"/>
        </w:rPr>
        <w:t> </w:t>
      </w:r>
      <w:r>
        <w:rPr/>
        <w:t>issued by the supervising faculty member signifies satisfactory completion of a minimum of one-hour of discussion of one or more of the relevant topics listed above and fulfillment of the faculty member’s </w:t>
      </w:r>
      <w:r>
        <w:rPr>
          <w:spacing w:val="-3"/>
        </w:rPr>
        <w:t>IPT </w:t>
      </w:r>
      <w:r>
        <w:rPr/>
        <w:t>through its instruction. </w:t>
      </w:r>
      <w:r>
        <w:rPr>
          <w:spacing w:val="-3"/>
        </w:rPr>
        <w:t>It </w:t>
      </w:r>
      <w:r>
        <w:rPr/>
        <w:t>is the responsibility of the Director of Undergraduate Studies to ensure that all undergraduate students participating in research activities are registered for GEO 491. The Director of Graduate</w:t>
      </w:r>
      <w:r>
        <w:rPr>
          <w:spacing w:val="-8"/>
        </w:rPr>
        <w:t> </w:t>
      </w:r>
      <w:r>
        <w:rPr/>
        <w:t>Studies</w:t>
      </w:r>
      <w:r>
        <w:rPr>
          <w:spacing w:val="-6"/>
        </w:rPr>
        <w:t> </w:t>
      </w:r>
      <w:r>
        <w:rPr/>
        <w:t>will</w:t>
      </w:r>
      <w:r>
        <w:rPr>
          <w:spacing w:val="-7"/>
        </w:rPr>
        <w:t> </w:t>
      </w:r>
      <w:r>
        <w:rPr/>
        <w:t>ensure</w:t>
      </w:r>
      <w:r>
        <w:rPr>
          <w:spacing w:val="-5"/>
        </w:rPr>
        <w:t> </w:t>
      </w:r>
      <w:r>
        <w:rPr/>
        <w:t>that</w:t>
      </w:r>
      <w:r>
        <w:rPr>
          <w:spacing w:val="-8"/>
        </w:rPr>
        <w:t> </w:t>
      </w:r>
      <w:r>
        <w:rPr/>
        <w:t>all</w:t>
      </w:r>
      <w:r>
        <w:rPr>
          <w:spacing w:val="-7"/>
        </w:rPr>
        <w:t> </w:t>
      </w:r>
      <w:r>
        <w:rPr/>
        <w:t>graduate</w:t>
      </w:r>
      <w:r>
        <w:rPr>
          <w:spacing w:val="-7"/>
        </w:rPr>
        <w:t> </w:t>
      </w:r>
      <w:r>
        <w:rPr/>
        <w:t>students</w:t>
      </w:r>
      <w:r>
        <w:rPr>
          <w:spacing w:val="-10"/>
        </w:rPr>
        <w:t> </w:t>
      </w:r>
      <w:r>
        <w:rPr/>
        <w:t>are</w:t>
      </w:r>
      <w:r>
        <w:rPr>
          <w:spacing w:val="-8"/>
        </w:rPr>
        <w:t> </w:t>
      </w:r>
      <w:r>
        <w:rPr/>
        <w:t>enrolled</w:t>
      </w:r>
      <w:r>
        <w:rPr>
          <w:spacing w:val="-8"/>
        </w:rPr>
        <w:t> </w:t>
      </w:r>
      <w:r>
        <w:rPr/>
        <w:t>in</w:t>
      </w:r>
      <w:r>
        <w:rPr>
          <w:spacing w:val="-8"/>
        </w:rPr>
        <w:t> </w:t>
      </w:r>
      <w:r>
        <w:rPr/>
        <w:t>GEO</w:t>
      </w:r>
      <w:r>
        <w:rPr>
          <w:spacing w:val="-8"/>
        </w:rPr>
        <w:t> </w:t>
      </w:r>
      <w:r>
        <w:rPr/>
        <w:t>591</w:t>
      </w:r>
      <w:r>
        <w:rPr>
          <w:spacing w:val="-9"/>
        </w:rPr>
        <w:t> </w:t>
      </w:r>
      <w:r>
        <w:rPr/>
        <w:t>each</w:t>
      </w:r>
      <w:r>
        <w:rPr>
          <w:spacing w:val="-5"/>
        </w:rPr>
        <w:t> </w:t>
      </w:r>
      <w:r>
        <w:rPr/>
        <w:t>semester.</w:t>
      </w:r>
      <w:r>
        <w:rPr>
          <w:spacing w:val="35"/>
        </w:rPr>
        <w:t> </w:t>
      </w:r>
      <w:r>
        <w:rPr/>
        <w:t>For</w:t>
      </w:r>
      <w:r>
        <w:rPr>
          <w:spacing w:val="-9"/>
        </w:rPr>
        <w:t> </w:t>
      </w:r>
      <w:r>
        <w:rPr/>
        <w:t>faculty who</w:t>
      </w:r>
      <w:r>
        <w:rPr>
          <w:spacing w:val="-6"/>
        </w:rPr>
        <w:t> </w:t>
      </w:r>
      <w:r>
        <w:rPr/>
        <w:t>are</w:t>
      </w:r>
      <w:r>
        <w:rPr>
          <w:spacing w:val="-4"/>
        </w:rPr>
        <w:t> </w:t>
      </w:r>
      <w:r>
        <w:rPr/>
        <w:t>not</w:t>
      </w:r>
      <w:r>
        <w:rPr>
          <w:spacing w:val="-4"/>
        </w:rPr>
        <w:t> </w:t>
      </w:r>
      <w:r>
        <w:rPr/>
        <w:t>supervising</w:t>
      </w:r>
      <w:r>
        <w:rPr>
          <w:spacing w:val="-8"/>
        </w:rPr>
        <w:t> </w:t>
      </w:r>
      <w:r>
        <w:rPr/>
        <w:t>research,</w:t>
      </w:r>
      <w:r>
        <w:rPr>
          <w:spacing w:val="-6"/>
        </w:rPr>
        <w:t> </w:t>
      </w:r>
      <w:r>
        <w:rPr/>
        <w:t>the</w:t>
      </w:r>
      <w:r>
        <w:rPr>
          <w:spacing w:val="-4"/>
        </w:rPr>
        <w:t> </w:t>
      </w:r>
      <w:r>
        <w:rPr/>
        <w:t>Department</w:t>
      </w:r>
      <w:r>
        <w:rPr>
          <w:spacing w:val="-4"/>
        </w:rPr>
        <w:t> </w:t>
      </w:r>
      <w:r>
        <w:rPr/>
        <w:t>Chair</w:t>
      </w:r>
      <w:r>
        <w:rPr>
          <w:spacing w:val="-4"/>
        </w:rPr>
        <w:t> </w:t>
      </w:r>
      <w:r>
        <w:rPr/>
        <w:t>will</w:t>
      </w:r>
      <w:r>
        <w:rPr>
          <w:spacing w:val="-5"/>
        </w:rPr>
        <w:t> </w:t>
      </w:r>
      <w:r>
        <w:rPr/>
        <w:t>provide</w:t>
      </w:r>
      <w:r>
        <w:rPr>
          <w:spacing w:val="-5"/>
        </w:rPr>
        <w:t> </w:t>
      </w:r>
      <w:r>
        <w:rPr/>
        <w:t>a</w:t>
      </w:r>
      <w:r>
        <w:rPr>
          <w:spacing w:val="-7"/>
        </w:rPr>
        <w:t> </w:t>
      </w:r>
      <w:r>
        <w:rPr/>
        <w:t>teaching</w:t>
      </w:r>
      <w:r>
        <w:rPr>
          <w:spacing w:val="-8"/>
        </w:rPr>
        <w:t> </w:t>
      </w:r>
      <w:r>
        <w:rPr/>
        <w:t>assignment</w:t>
      </w:r>
      <w:r>
        <w:rPr>
          <w:spacing w:val="-4"/>
        </w:rPr>
        <w:t> </w:t>
      </w:r>
      <w:r>
        <w:rPr/>
        <w:t>(e.g,</w:t>
      </w:r>
      <w:r>
        <w:rPr>
          <w:spacing w:val="-5"/>
        </w:rPr>
        <w:t> </w:t>
      </w:r>
      <w:r>
        <w:rPr/>
        <w:t>GEO</w:t>
      </w:r>
      <w:r>
        <w:rPr>
          <w:spacing w:val="-7"/>
        </w:rPr>
        <w:t> </w:t>
      </w:r>
      <w:r>
        <w:rPr/>
        <w:t>500: Geosciences</w:t>
      </w:r>
      <w:r>
        <w:rPr>
          <w:spacing w:val="-3"/>
        </w:rPr>
        <w:t> </w:t>
      </w:r>
      <w:r>
        <w:rPr/>
        <w:t>Research</w:t>
      </w:r>
      <w:r>
        <w:rPr>
          <w:spacing w:val="-3"/>
        </w:rPr>
        <w:t> </w:t>
      </w:r>
      <w:r>
        <w:rPr/>
        <w:t>Seminar,</w:t>
      </w:r>
      <w:r>
        <w:rPr>
          <w:spacing w:val="-5"/>
        </w:rPr>
        <w:t> </w:t>
      </w:r>
      <w:r>
        <w:rPr/>
        <w:t>or</w:t>
      </w:r>
      <w:r>
        <w:rPr>
          <w:spacing w:val="-3"/>
        </w:rPr>
        <w:t> </w:t>
      </w:r>
      <w:r>
        <w:rPr/>
        <w:t>GEO</w:t>
      </w:r>
      <w:r>
        <w:rPr>
          <w:spacing w:val="-6"/>
        </w:rPr>
        <w:t> </w:t>
      </w:r>
      <w:r>
        <w:rPr/>
        <w:t>696:</w:t>
      </w:r>
      <w:r>
        <w:rPr>
          <w:spacing w:val="-3"/>
        </w:rPr>
        <w:t> </w:t>
      </w:r>
      <w:r>
        <w:rPr/>
        <w:t>Geoscience</w:t>
      </w:r>
      <w:r>
        <w:rPr>
          <w:spacing w:val="-3"/>
        </w:rPr>
        <w:t> </w:t>
      </w:r>
      <w:r>
        <w:rPr/>
        <w:t>Colloquium)</w:t>
      </w:r>
      <w:r>
        <w:rPr>
          <w:spacing w:val="-2"/>
        </w:rPr>
        <w:t> </w:t>
      </w:r>
      <w:r>
        <w:rPr/>
        <w:t>that</w:t>
      </w:r>
      <w:r>
        <w:rPr>
          <w:spacing w:val="-1"/>
        </w:rPr>
        <w:t> </w:t>
      </w:r>
      <w:r>
        <w:rPr/>
        <w:t>through</w:t>
      </w:r>
      <w:r>
        <w:rPr>
          <w:spacing w:val="-4"/>
        </w:rPr>
        <w:t> </w:t>
      </w:r>
      <w:r>
        <w:rPr/>
        <w:t>its</w:t>
      </w:r>
      <w:r>
        <w:rPr>
          <w:spacing w:val="-5"/>
        </w:rPr>
        <w:t> </w:t>
      </w:r>
      <w:r>
        <w:rPr/>
        <w:t>instruction</w:t>
      </w:r>
      <w:r>
        <w:rPr>
          <w:spacing w:val="-3"/>
        </w:rPr>
        <w:t> </w:t>
      </w:r>
      <w:r>
        <w:rPr/>
        <w:t>satisfies the faculty member’s IPT. These records of compliance will be maintained within the Registrar’s record keeping</w:t>
      </w:r>
      <w:r>
        <w:rPr>
          <w:spacing w:val="-3"/>
        </w:rPr>
        <w:t> </w:t>
      </w:r>
      <w:r>
        <w:rPr/>
        <w:t>system.</w:t>
      </w:r>
    </w:p>
    <w:p>
      <w:pPr>
        <w:pStyle w:val="BodyText"/>
        <w:spacing w:before="10"/>
      </w:pPr>
    </w:p>
    <w:p>
      <w:pPr>
        <w:pStyle w:val="BodyText"/>
        <w:spacing w:line="249" w:lineRule="auto"/>
        <w:ind w:left="115" w:right="108" w:hanging="10"/>
        <w:jc w:val="both"/>
      </w:pPr>
      <w:r>
        <w:rPr/>
        <w:t>Documentation of IPT for postdocs and visiting research participants, including summer high school students,</w:t>
      </w:r>
      <w:r>
        <w:rPr>
          <w:spacing w:val="-10"/>
        </w:rPr>
        <w:t> </w:t>
      </w:r>
      <w:r>
        <w:rPr/>
        <w:t>will</w:t>
      </w:r>
      <w:r>
        <w:rPr>
          <w:spacing w:val="-10"/>
        </w:rPr>
        <w:t> </w:t>
      </w:r>
      <w:r>
        <w:rPr/>
        <w:t>be</w:t>
      </w:r>
      <w:r>
        <w:rPr>
          <w:spacing w:val="-10"/>
        </w:rPr>
        <w:t> </w:t>
      </w:r>
      <w:r>
        <w:rPr/>
        <w:t>the</w:t>
      </w:r>
      <w:r>
        <w:rPr>
          <w:spacing w:val="-12"/>
        </w:rPr>
        <w:t> </w:t>
      </w:r>
      <w:r>
        <w:rPr/>
        <w:t>responsibility</w:t>
      </w:r>
      <w:r>
        <w:rPr>
          <w:spacing w:val="-12"/>
        </w:rPr>
        <w:t> </w:t>
      </w:r>
      <w:r>
        <w:rPr/>
        <w:t>of</w:t>
      </w:r>
      <w:r>
        <w:rPr>
          <w:spacing w:val="-9"/>
        </w:rPr>
        <w:t> </w:t>
      </w:r>
      <w:r>
        <w:rPr/>
        <w:t>the</w:t>
      </w:r>
      <w:r>
        <w:rPr>
          <w:spacing w:val="-8"/>
        </w:rPr>
        <w:t> </w:t>
      </w:r>
      <w:r>
        <w:rPr/>
        <w:t>faculty</w:t>
      </w:r>
      <w:r>
        <w:rPr>
          <w:spacing w:val="-12"/>
        </w:rPr>
        <w:t> </w:t>
      </w:r>
      <w:r>
        <w:rPr/>
        <w:t>research</w:t>
      </w:r>
      <w:r>
        <w:rPr>
          <w:spacing w:val="-10"/>
        </w:rPr>
        <w:t> </w:t>
      </w:r>
      <w:r>
        <w:rPr/>
        <w:t>supervisors.</w:t>
      </w:r>
      <w:r>
        <w:rPr>
          <w:spacing w:val="36"/>
        </w:rPr>
        <w:t> </w:t>
      </w:r>
      <w:r>
        <w:rPr/>
        <w:t>At</w:t>
      </w:r>
      <w:r>
        <w:rPr>
          <w:spacing w:val="-9"/>
        </w:rPr>
        <w:t> </w:t>
      </w:r>
      <w:r>
        <w:rPr/>
        <w:t>the</w:t>
      </w:r>
      <w:r>
        <w:rPr>
          <w:spacing w:val="-10"/>
        </w:rPr>
        <w:t> </w:t>
      </w:r>
      <w:r>
        <w:rPr/>
        <w:t>completion</w:t>
      </w:r>
      <w:r>
        <w:rPr>
          <w:spacing w:val="-9"/>
        </w:rPr>
        <w:t> </w:t>
      </w:r>
      <w:r>
        <w:rPr/>
        <w:t>of</w:t>
      </w:r>
      <w:r>
        <w:rPr>
          <w:spacing w:val="-10"/>
        </w:rPr>
        <w:t> </w:t>
      </w:r>
      <w:r>
        <w:rPr/>
        <w:t>each</w:t>
      </w:r>
      <w:r>
        <w:rPr>
          <w:spacing w:val="-10"/>
        </w:rPr>
        <w:t> </w:t>
      </w:r>
      <w:r>
        <w:rPr/>
        <w:t>term</w:t>
      </w:r>
      <w:r>
        <w:rPr>
          <w:spacing w:val="-13"/>
        </w:rPr>
        <w:t> </w:t>
      </w:r>
      <w:r>
        <w:rPr/>
        <w:t>(Fall, and</w:t>
      </w:r>
      <w:r>
        <w:rPr>
          <w:spacing w:val="-11"/>
        </w:rPr>
        <w:t> </w:t>
      </w:r>
      <w:r>
        <w:rPr/>
        <w:t>Spring</w:t>
      </w:r>
      <w:r>
        <w:rPr>
          <w:spacing w:val="-13"/>
        </w:rPr>
        <w:t> </w:t>
      </w:r>
      <w:r>
        <w:rPr/>
        <w:t>semesters;</w:t>
      </w:r>
      <w:r>
        <w:rPr>
          <w:spacing w:val="-10"/>
        </w:rPr>
        <w:t> </w:t>
      </w:r>
      <w:r>
        <w:rPr>
          <w:spacing w:val="-3"/>
        </w:rPr>
        <w:t>Summer</w:t>
      </w:r>
      <w:r>
        <w:rPr>
          <w:spacing w:val="-9"/>
        </w:rPr>
        <w:t> </w:t>
      </w:r>
      <w:r>
        <w:rPr/>
        <w:t>for</w:t>
      </w:r>
      <w:r>
        <w:rPr>
          <w:spacing w:val="-10"/>
        </w:rPr>
        <w:t> </w:t>
      </w:r>
      <w:r>
        <w:rPr/>
        <w:t>high</w:t>
      </w:r>
      <w:r>
        <w:rPr>
          <w:spacing w:val="-11"/>
        </w:rPr>
        <w:t> </w:t>
      </w:r>
      <w:r>
        <w:rPr/>
        <w:t>school</w:t>
      </w:r>
      <w:r>
        <w:rPr>
          <w:spacing w:val="-13"/>
        </w:rPr>
        <w:t> </w:t>
      </w:r>
      <w:r>
        <w:rPr/>
        <w:t>students)</w:t>
      </w:r>
      <w:r>
        <w:rPr>
          <w:spacing w:val="-9"/>
        </w:rPr>
        <w:t> </w:t>
      </w:r>
      <w:r>
        <w:rPr/>
        <w:t>the</w:t>
      </w:r>
      <w:r>
        <w:rPr>
          <w:spacing w:val="-11"/>
        </w:rPr>
        <w:t> </w:t>
      </w:r>
      <w:r>
        <w:rPr/>
        <w:t>research</w:t>
      </w:r>
      <w:r>
        <w:rPr>
          <w:spacing w:val="-11"/>
        </w:rPr>
        <w:t> </w:t>
      </w:r>
      <w:r>
        <w:rPr/>
        <w:t>supervisor</w:t>
      </w:r>
      <w:r>
        <w:rPr>
          <w:spacing w:val="-10"/>
        </w:rPr>
        <w:t> </w:t>
      </w:r>
      <w:r>
        <w:rPr/>
        <w:t>will</w:t>
      </w:r>
      <w:r>
        <w:rPr>
          <w:spacing w:val="-10"/>
        </w:rPr>
        <w:t> </w:t>
      </w:r>
      <w:r>
        <w:rPr/>
        <w:t>submit</w:t>
      </w:r>
      <w:r>
        <w:rPr>
          <w:spacing w:val="-12"/>
        </w:rPr>
        <w:t> </w:t>
      </w:r>
      <w:r>
        <w:rPr/>
        <w:t>to</w:t>
      </w:r>
      <w:r>
        <w:rPr>
          <w:spacing w:val="-10"/>
        </w:rPr>
        <w:t> </w:t>
      </w:r>
      <w:r>
        <w:rPr/>
        <w:t>the</w:t>
      </w:r>
      <w:r>
        <w:rPr>
          <w:spacing w:val="-11"/>
        </w:rPr>
        <w:t> </w:t>
      </w:r>
      <w:r>
        <w:rPr/>
        <w:t>Assistant to the Chair documentation describing the duration and topic of IPT completed during that term. The Assistant to the Chair will record receipt of IPT completion notification in the spreadsheet that tracks all visiting appointments in the Department of</w:t>
      </w:r>
      <w:r>
        <w:rPr>
          <w:spacing w:val="-7"/>
        </w:rPr>
        <w:t> </w:t>
      </w:r>
      <w:r>
        <w:rPr/>
        <w:t>Geosciences</w:t>
      </w:r>
    </w:p>
    <w:p>
      <w:pPr>
        <w:spacing w:after="0" w:line="249" w:lineRule="auto"/>
        <w:jc w:val="both"/>
        <w:sectPr>
          <w:pgSz w:w="12240" w:h="15840"/>
          <w:pgMar w:header="0" w:footer="1041" w:top="1360" w:bottom="1240" w:left="1320" w:right="1320"/>
        </w:sectPr>
      </w:pPr>
    </w:p>
    <w:p>
      <w:pPr>
        <w:pStyle w:val="Heading1"/>
        <w:numPr>
          <w:ilvl w:val="0"/>
          <w:numId w:val="2"/>
        </w:numPr>
        <w:tabs>
          <w:tab w:pos="346" w:val="left" w:leader="none"/>
        </w:tabs>
        <w:spacing w:line="240" w:lineRule="auto" w:before="81" w:after="0"/>
        <w:ind w:left="345" w:right="0" w:hanging="241"/>
        <w:jc w:val="left"/>
      </w:pPr>
      <w:r>
        <w:rPr/>
        <w:t>Notification of Training</w:t>
      </w:r>
      <w:r>
        <w:rPr>
          <w:spacing w:val="-2"/>
        </w:rPr>
        <w:t> </w:t>
      </w:r>
      <w:r>
        <w:rPr/>
        <w:t>Requirements</w:t>
      </w:r>
    </w:p>
    <w:p>
      <w:pPr>
        <w:pStyle w:val="BodyText"/>
        <w:spacing w:before="1"/>
        <w:rPr>
          <w:b/>
          <w:sz w:val="24"/>
        </w:rPr>
      </w:pPr>
    </w:p>
    <w:p>
      <w:pPr>
        <w:pStyle w:val="BodyText"/>
        <w:spacing w:line="249" w:lineRule="auto"/>
        <w:ind w:left="115" w:right="105" w:hanging="10"/>
        <w:jc w:val="both"/>
      </w:pPr>
      <w:r>
        <w:rPr/>
        <w:t>Reminders</w:t>
      </w:r>
      <w:r>
        <w:rPr>
          <w:spacing w:val="-7"/>
        </w:rPr>
        <w:t> </w:t>
      </w:r>
      <w:r>
        <w:rPr/>
        <w:t>of</w:t>
      </w:r>
      <w:r>
        <w:rPr>
          <w:spacing w:val="-10"/>
        </w:rPr>
        <w:t> </w:t>
      </w:r>
      <w:r>
        <w:rPr/>
        <w:t>the</w:t>
      </w:r>
      <w:r>
        <w:rPr>
          <w:spacing w:val="-8"/>
        </w:rPr>
        <w:t> </w:t>
      </w:r>
      <w:r>
        <w:rPr/>
        <w:t>IPT</w:t>
      </w:r>
      <w:r>
        <w:rPr>
          <w:spacing w:val="-9"/>
        </w:rPr>
        <w:t> </w:t>
      </w:r>
      <w:r>
        <w:rPr/>
        <w:t>training</w:t>
      </w:r>
      <w:r>
        <w:rPr>
          <w:spacing w:val="-11"/>
        </w:rPr>
        <w:t> </w:t>
      </w:r>
      <w:r>
        <w:rPr/>
        <w:t>requirements</w:t>
      </w:r>
      <w:r>
        <w:rPr>
          <w:spacing w:val="-8"/>
        </w:rPr>
        <w:t> </w:t>
      </w:r>
      <w:r>
        <w:rPr/>
        <w:t>will</w:t>
      </w:r>
      <w:r>
        <w:rPr>
          <w:spacing w:val="-7"/>
        </w:rPr>
        <w:t> </w:t>
      </w:r>
      <w:r>
        <w:rPr/>
        <w:t>be</w:t>
      </w:r>
      <w:r>
        <w:rPr>
          <w:spacing w:val="-8"/>
        </w:rPr>
        <w:t> </w:t>
      </w:r>
      <w:r>
        <w:rPr/>
        <w:t>issued</w:t>
      </w:r>
      <w:r>
        <w:rPr>
          <w:spacing w:val="-9"/>
        </w:rPr>
        <w:t> </w:t>
      </w:r>
      <w:r>
        <w:rPr/>
        <w:t>to</w:t>
      </w:r>
      <w:r>
        <w:rPr>
          <w:spacing w:val="-9"/>
        </w:rPr>
        <w:t> </w:t>
      </w:r>
      <w:r>
        <w:rPr/>
        <w:t>the</w:t>
      </w:r>
      <w:r>
        <w:rPr>
          <w:spacing w:val="-9"/>
        </w:rPr>
        <w:t> </w:t>
      </w:r>
      <w:r>
        <w:rPr/>
        <w:t>Geosciences</w:t>
      </w:r>
      <w:r>
        <w:rPr>
          <w:spacing w:val="-10"/>
        </w:rPr>
        <w:t> </w:t>
      </w:r>
      <w:r>
        <w:rPr/>
        <w:t>faculty</w:t>
      </w:r>
      <w:r>
        <w:rPr>
          <w:spacing w:val="-10"/>
        </w:rPr>
        <w:t> </w:t>
      </w:r>
      <w:r>
        <w:rPr/>
        <w:t>during</w:t>
      </w:r>
      <w:r>
        <w:rPr>
          <w:spacing w:val="-11"/>
        </w:rPr>
        <w:t> </w:t>
      </w:r>
      <w:r>
        <w:rPr/>
        <w:t>the</w:t>
      </w:r>
      <w:r>
        <w:rPr>
          <w:spacing w:val="-10"/>
        </w:rPr>
        <w:t> </w:t>
      </w:r>
      <w:r>
        <w:rPr/>
        <w:t>first</w:t>
      </w:r>
      <w:r>
        <w:rPr>
          <w:spacing w:val="-10"/>
        </w:rPr>
        <w:t> </w:t>
      </w:r>
      <w:r>
        <w:rPr/>
        <w:t>faculty meeting</w:t>
      </w:r>
      <w:r>
        <w:rPr>
          <w:spacing w:val="-9"/>
        </w:rPr>
        <w:t> </w:t>
      </w:r>
      <w:r>
        <w:rPr/>
        <w:t>of</w:t>
      </w:r>
      <w:r>
        <w:rPr>
          <w:spacing w:val="-6"/>
        </w:rPr>
        <w:t> </w:t>
      </w:r>
      <w:r>
        <w:rPr/>
        <w:t>each</w:t>
      </w:r>
      <w:r>
        <w:rPr>
          <w:spacing w:val="-9"/>
        </w:rPr>
        <w:t> </w:t>
      </w:r>
      <w:r>
        <w:rPr/>
        <w:t>semester</w:t>
      </w:r>
      <w:r>
        <w:rPr>
          <w:spacing w:val="-5"/>
        </w:rPr>
        <w:t> </w:t>
      </w:r>
      <w:r>
        <w:rPr/>
        <w:t>by</w:t>
      </w:r>
      <w:r>
        <w:rPr>
          <w:spacing w:val="-8"/>
        </w:rPr>
        <w:t> </w:t>
      </w:r>
      <w:r>
        <w:rPr/>
        <w:t>the</w:t>
      </w:r>
      <w:r>
        <w:rPr>
          <w:spacing w:val="-5"/>
        </w:rPr>
        <w:t> </w:t>
      </w:r>
      <w:r>
        <w:rPr/>
        <w:t>Department</w:t>
      </w:r>
      <w:r>
        <w:rPr>
          <w:spacing w:val="-5"/>
        </w:rPr>
        <w:t> </w:t>
      </w:r>
      <w:r>
        <w:rPr/>
        <w:t>Chair.</w:t>
      </w:r>
      <w:r>
        <w:rPr>
          <w:spacing w:val="41"/>
        </w:rPr>
        <w:t> </w:t>
      </w:r>
      <w:r>
        <w:rPr/>
        <w:t>For</w:t>
      </w:r>
      <w:r>
        <w:rPr>
          <w:spacing w:val="-5"/>
        </w:rPr>
        <w:t> </w:t>
      </w:r>
      <w:r>
        <w:rPr/>
        <w:t>graduate</w:t>
      </w:r>
      <w:r>
        <w:rPr>
          <w:spacing w:val="-7"/>
        </w:rPr>
        <w:t> </w:t>
      </w:r>
      <w:r>
        <w:rPr/>
        <w:t>students,</w:t>
      </w:r>
      <w:r>
        <w:rPr>
          <w:spacing w:val="-8"/>
        </w:rPr>
        <w:t> </w:t>
      </w:r>
      <w:r>
        <w:rPr/>
        <w:t>at</w:t>
      </w:r>
      <w:r>
        <w:rPr>
          <w:spacing w:val="-8"/>
        </w:rPr>
        <w:t> </w:t>
      </w:r>
      <w:r>
        <w:rPr/>
        <w:t>least</w:t>
      </w:r>
      <w:r>
        <w:rPr>
          <w:spacing w:val="-8"/>
        </w:rPr>
        <w:t> </w:t>
      </w:r>
      <w:r>
        <w:rPr/>
        <w:t>one</w:t>
      </w:r>
      <w:r>
        <w:rPr>
          <w:spacing w:val="-7"/>
        </w:rPr>
        <w:t> </w:t>
      </w:r>
      <w:r>
        <w:rPr/>
        <w:t>class</w:t>
      </w:r>
      <w:r>
        <w:rPr>
          <w:spacing w:val="-6"/>
        </w:rPr>
        <w:t> </w:t>
      </w:r>
      <w:r>
        <w:rPr/>
        <w:t>period</w:t>
      </w:r>
      <w:r>
        <w:rPr>
          <w:spacing w:val="-6"/>
        </w:rPr>
        <w:t> </w:t>
      </w:r>
      <w:r>
        <w:rPr/>
        <w:t>of</w:t>
      </w:r>
      <w:r>
        <w:rPr>
          <w:spacing w:val="-5"/>
        </w:rPr>
        <w:t> </w:t>
      </w:r>
      <w:r>
        <w:rPr/>
        <w:t>GEO 500 (Geosciences Research Seminar; required for all first-year graduate students) will be devoted to discussion of RCRS training and IPT requirements. For all other research participants (including</w:t>
      </w:r>
      <w:r>
        <w:rPr>
          <w:spacing w:val="-27"/>
        </w:rPr>
        <w:t> </w:t>
      </w:r>
      <w:r>
        <w:rPr/>
        <w:t>postdocs, visiting researchers, and summer high school students), it is the responsibility of the supervising faculty member to provide notification of the RCRS requirements to the individual. The Department of Geosciences’ RCRS complementary policy will be maintained on the Department web</w:t>
      </w:r>
      <w:r>
        <w:rPr>
          <w:spacing w:val="-15"/>
        </w:rPr>
        <w:t> </w:t>
      </w:r>
      <w:r>
        <w:rPr/>
        <w:t>page.</w:t>
      </w:r>
    </w:p>
    <w:sectPr>
      <w:pgSz w:w="12240" w:h="15840"/>
      <w:pgMar w:header="0" w:footer="1041" w:top="1360" w:bottom="124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1.459595pt;margin-top:728.9552pt;width:11.65pt;height:13.05pt;mso-position-horizontal-relative:page;mso-position-vertical-relative:page;z-index:-251750400" type="#_x0000_t202" filled="false" stroked="false">
          <v:textbox inset="0,0,0,0">
            <w:txbxContent>
              <w:p>
                <w:pPr>
                  <w:pStyle w:val="BodyText"/>
                  <w:spacing w:line="245" w:lineRule="exact"/>
                  <w:ind w:left="60"/>
                  <w:rPr>
                    <w:rFonts w:ascii="Calibri"/>
                  </w:rPr>
                </w:pPr>
                <w:r>
                  <w:rPr/>
                  <w:fldChar w:fldCharType="begin"/>
                </w:r>
                <w:r>
                  <w:rPr>
                    <w:rFonts w:ascii="Calibri"/>
                    <w:w w:val="100"/>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676" w:hanging="140"/>
      </w:pPr>
      <w:rPr>
        <w:rFonts w:hint="default" w:ascii="Arial" w:hAnsi="Arial" w:eastAsia="Arial" w:cs="Arial"/>
        <w:w w:val="100"/>
        <w:sz w:val="22"/>
        <w:szCs w:val="22"/>
      </w:rPr>
    </w:lvl>
    <w:lvl w:ilvl="1">
      <w:start w:val="0"/>
      <w:numFmt w:val="bullet"/>
      <w:lvlText w:val="•"/>
      <w:lvlJc w:val="left"/>
      <w:pPr>
        <w:ind w:left="1572" w:hanging="140"/>
      </w:pPr>
      <w:rPr>
        <w:rFonts w:hint="default"/>
      </w:rPr>
    </w:lvl>
    <w:lvl w:ilvl="2">
      <w:start w:val="0"/>
      <w:numFmt w:val="bullet"/>
      <w:lvlText w:val="•"/>
      <w:lvlJc w:val="left"/>
      <w:pPr>
        <w:ind w:left="2464" w:hanging="140"/>
      </w:pPr>
      <w:rPr>
        <w:rFonts w:hint="default"/>
      </w:rPr>
    </w:lvl>
    <w:lvl w:ilvl="3">
      <w:start w:val="0"/>
      <w:numFmt w:val="bullet"/>
      <w:lvlText w:val="•"/>
      <w:lvlJc w:val="left"/>
      <w:pPr>
        <w:ind w:left="3356" w:hanging="140"/>
      </w:pPr>
      <w:rPr>
        <w:rFonts w:hint="default"/>
      </w:rPr>
    </w:lvl>
    <w:lvl w:ilvl="4">
      <w:start w:val="0"/>
      <w:numFmt w:val="bullet"/>
      <w:lvlText w:val="•"/>
      <w:lvlJc w:val="left"/>
      <w:pPr>
        <w:ind w:left="4248" w:hanging="140"/>
      </w:pPr>
      <w:rPr>
        <w:rFonts w:hint="default"/>
      </w:rPr>
    </w:lvl>
    <w:lvl w:ilvl="5">
      <w:start w:val="0"/>
      <w:numFmt w:val="bullet"/>
      <w:lvlText w:val="•"/>
      <w:lvlJc w:val="left"/>
      <w:pPr>
        <w:ind w:left="5140" w:hanging="140"/>
      </w:pPr>
      <w:rPr>
        <w:rFonts w:hint="default"/>
      </w:rPr>
    </w:lvl>
    <w:lvl w:ilvl="6">
      <w:start w:val="0"/>
      <w:numFmt w:val="bullet"/>
      <w:lvlText w:val="•"/>
      <w:lvlJc w:val="left"/>
      <w:pPr>
        <w:ind w:left="6032" w:hanging="140"/>
      </w:pPr>
      <w:rPr>
        <w:rFonts w:hint="default"/>
      </w:rPr>
    </w:lvl>
    <w:lvl w:ilvl="7">
      <w:start w:val="0"/>
      <w:numFmt w:val="bullet"/>
      <w:lvlText w:val="•"/>
      <w:lvlJc w:val="left"/>
      <w:pPr>
        <w:ind w:left="6924" w:hanging="140"/>
      </w:pPr>
      <w:rPr>
        <w:rFonts w:hint="default"/>
      </w:rPr>
    </w:lvl>
    <w:lvl w:ilvl="8">
      <w:start w:val="0"/>
      <w:numFmt w:val="bullet"/>
      <w:lvlText w:val="•"/>
      <w:lvlJc w:val="left"/>
      <w:pPr>
        <w:ind w:left="7816" w:hanging="140"/>
      </w:pPr>
      <w:rPr>
        <w:rFonts w:hint="default"/>
      </w:rPr>
    </w:lvl>
  </w:abstractNum>
  <w:abstractNum w:abstractNumId="1">
    <w:multiLevelType w:val="hybridMultilevel"/>
    <w:lvl w:ilvl="0">
      <w:start w:val="1"/>
      <w:numFmt w:val="decimal"/>
      <w:lvlText w:val="%1)"/>
      <w:lvlJc w:val="left"/>
      <w:pPr>
        <w:ind w:left="345" w:hanging="240"/>
        <w:jc w:val="left"/>
      </w:pPr>
      <w:rPr>
        <w:rFonts w:hint="default" w:ascii="Times New Roman" w:hAnsi="Times New Roman" w:eastAsia="Times New Roman" w:cs="Times New Roman"/>
        <w:b/>
        <w:bCs/>
        <w:w w:val="100"/>
        <w:sz w:val="22"/>
        <w:szCs w:val="22"/>
      </w:rPr>
    </w:lvl>
    <w:lvl w:ilvl="1">
      <w:start w:val="1"/>
      <w:numFmt w:val="upperLetter"/>
      <w:lvlText w:val="%2)"/>
      <w:lvlJc w:val="left"/>
      <w:pPr>
        <w:ind w:left="417" w:hanging="289"/>
        <w:jc w:val="left"/>
      </w:pPr>
      <w:rPr>
        <w:rFonts w:hint="default" w:ascii="Times New Roman" w:hAnsi="Times New Roman" w:eastAsia="Times New Roman" w:cs="Times New Roman"/>
        <w:b/>
        <w:bCs/>
        <w:spacing w:val="-2"/>
        <w:w w:val="100"/>
        <w:sz w:val="22"/>
        <w:szCs w:val="22"/>
      </w:rPr>
    </w:lvl>
    <w:lvl w:ilvl="2">
      <w:start w:val="0"/>
      <w:numFmt w:val="bullet"/>
      <w:lvlText w:val="•"/>
      <w:lvlJc w:val="left"/>
      <w:pPr>
        <w:ind w:left="1440" w:hanging="289"/>
      </w:pPr>
      <w:rPr>
        <w:rFonts w:hint="default"/>
      </w:rPr>
    </w:lvl>
    <w:lvl w:ilvl="3">
      <w:start w:val="0"/>
      <w:numFmt w:val="bullet"/>
      <w:lvlText w:val="•"/>
      <w:lvlJc w:val="left"/>
      <w:pPr>
        <w:ind w:left="2460" w:hanging="289"/>
      </w:pPr>
      <w:rPr>
        <w:rFonts w:hint="default"/>
      </w:rPr>
    </w:lvl>
    <w:lvl w:ilvl="4">
      <w:start w:val="0"/>
      <w:numFmt w:val="bullet"/>
      <w:lvlText w:val="•"/>
      <w:lvlJc w:val="left"/>
      <w:pPr>
        <w:ind w:left="3480" w:hanging="289"/>
      </w:pPr>
      <w:rPr>
        <w:rFonts w:hint="default"/>
      </w:rPr>
    </w:lvl>
    <w:lvl w:ilvl="5">
      <w:start w:val="0"/>
      <w:numFmt w:val="bullet"/>
      <w:lvlText w:val="•"/>
      <w:lvlJc w:val="left"/>
      <w:pPr>
        <w:ind w:left="4500" w:hanging="289"/>
      </w:pPr>
      <w:rPr>
        <w:rFonts w:hint="default"/>
      </w:rPr>
    </w:lvl>
    <w:lvl w:ilvl="6">
      <w:start w:val="0"/>
      <w:numFmt w:val="bullet"/>
      <w:lvlText w:val="•"/>
      <w:lvlJc w:val="left"/>
      <w:pPr>
        <w:ind w:left="5520" w:hanging="289"/>
      </w:pPr>
      <w:rPr>
        <w:rFonts w:hint="default"/>
      </w:rPr>
    </w:lvl>
    <w:lvl w:ilvl="7">
      <w:start w:val="0"/>
      <w:numFmt w:val="bullet"/>
      <w:lvlText w:val="•"/>
      <w:lvlJc w:val="left"/>
      <w:pPr>
        <w:ind w:left="6540" w:hanging="289"/>
      </w:pPr>
      <w:rPr>
        <w:rFonts w:hint="default"/>
      </w:rPr>
    </w:lvl>
    <w:lvl w:ilvl="8">
      <w:start w:val="0"/>
      <w:numFmt w:val="bullet"/>
      <w:lvlText w:val="•"/>
      <w:lvlJc w:val="left"/>
      <w:pPr>
        <w:ind w:left="7560" w:hanging="289"/>
      </w:pPr>
      <w:rPr>
        <w:rFonts w:hint="default"/>
      </w:rPr>
    </w:lvl>
  </w:abstractNum>
  <w:abstractNum w:abstractNumId="0">
    <w:multiLevelType w:val="hybridMultilevel"/>
    <w:lvl w:ilvl="0">
      <w:start w:val="1"/>
      <w:numFmt w:val="decimal"/>
      <w:lvlText w:val="(%1)"/>
      <w:lvlJc w:val="left"/>
      <w:pPr>
        <w:ind w:left="1604" w:hanging="314"/>
        <w:jc w:val="left"/>
      </w:pPr>
      <w:rPr>
        <w:rFonts w:hint="default" w:ascii="Times New Roman" w:hAnsi="Times New Roman" w:eastAsia="Times New Roman" w:cs="Times New Roman"/>
        <w:w w:val="100"/>
        <w:sz w:val="22"/>
        <w:szCs w:val="22"/>
      </w:rPr>
    </w:lvl>
    <w:lvl w:ilvl="1">
      <w:start w:val="0"/>
      <w:numFmt w:val="bullet"/>
      <w:lvlText w:val="•"/>
      <w:lvlJc w:val="left"/>
      <w:pPr>
        <w:ind w:left="2400" w:hanging="314"/>
      </w:pPr>
      <w:rPr>
        <w:rFonts w:hint="default"/>
      </w:rPr>
    </w:lvl>
    <w:lvl w:ilvl="2">
      <w:start w:val="0"/>
      <w:numFmt w:val="bullet"/>
      <w:lvlText w:val="•"/>
      <w:lvlJc w:val="left"/>
      <w:pPr>
        <w:ind w:left="3200" w:hanging="314"/>
      </w:pPr>
      <w:rPr>
        <w:rFonts w:hint="default"/>
      </w:rPr>
    </w:lvl>
    <w:lvl w:ilvl="3">
      <w:start w:val="0"/>
      <w:numFmt w:val="bullet"/>
      <w:lvlText w:val="•"/>
      <w:lvlJc w:val="left"/>
      <w:pPr>
        <w:ind w:left="4000" w:hanging="314"/>
      </w:pPr>
      <w:rPr>
        <w:rFonts w:hint="default"/>
      </w:rPr>
    </w:lvl>
    <w:lvl w:ilvl="4">
      <w:start w:val="0"/>
      <w:numFmt w:val="bullet"/>
      <w:lvlText w:val="•"/>
      <w:lvlJc w:val="left"/>
      <w:pPr>
        <w:ind w:left="4800" w:hanging="314"/>
      </w:pPr>
      <w:rPr>
        <w:rFonts w:hint="default"/>
      </w:rPr>
    </w:lvl>
    <w:lvl w:ilvl="5">
      <w:start w:val="0"/>
      <w:numFmt w:val="bullet"/>
      <w:lvlText w:val="•"/>
      <w:lvlJc w:val="left"/>
      <w:pPr>
        <w:ind w:left="5600" w:hanging="314"/>
      </w:pPr>
      <w:rPr>
        <w:rFonts w:hint="default"/>
      </w:rPr>
    </w:lvl>
    <w:lvl w:ilvl="6">
      <w:start w:val="0"/>
      <w:numFmt w:val="bullet"/>
      <w:lvlText w:val="•"/>
      <w:lvlJc w:val="left"/>
      <w:pPr>
        <w:ind w:left="6400" w:hanging="314"/>
      </w:pPr>
      <w:rPr>
        <w:rFonts w:hint="default"/>
      </w:rPr>
    </w:lvl>
    <w:lvl w:ilvl="7">
      <w:start w:val="0"/>
      <w:numFmt w:val="bullet"/>
      <w:lvlText w:val="•"/>
      <w:lvlJc w:val="left"/>
      <w:pPr>
        <w:ind w:left="7200" w:hanging="314"/>
      </w:pPr>
      <w:rPr>
        <w:rFonts w:hint="default"/>
      </w:rPr>
    </w:lvl>
    <w:lvl w:ilvl="8">
      <w:start w:val="0"/>
      <w:numFmt w:val="bullet"/>
      <w:lvlText w:val="•"/>
      <w:lvlJc w:val="left"/>
      <w:pPr>
        <w:ind w:left="8000" w:hanging="314"/>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345" w:hanging="241"/>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676" w:hanging="14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2026-06-04T17:15:17Z</dcterms:created>
  <dcterms:modified xsi:type="dcterms:W3CDTF">2026-06-04T17:15:17Z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LastSaved">
    <vt:filetime>2026-06-04T00:00:00Z</vt:filetime>
  </property>
</Properties>
</file>