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427B6" w:rsidRDefault="00000000">
      <w:pPr>
        <w:pStyle w:val="Heading1"/>
        <w:spacing w:before="76"/>
        <w:ind w:left="1397" w:right="-720" w:hanging="1397"/>
        <w:rPr>
          <w:sz w:val="34"/>
          <w:szCs w:val="34"/>
        </w:rPr>
      </w:pPr>
      <w:r>
        <w:rPr>
          <w:sz w:val="34"/>
          <w:szCs w:val="34"/>
        </w:rPr>
        <w:t xml:space="preserve">Responsible Conduct in Research and Scholarship Policy </w:t>
      </w:r>
    </w:p>
    <w:p w14:paraId="00000002" w14:textId="77777777" w:rsidR="00A427B6" w:rsidRDefault="00000000">
      <w:pPr>
        <w:pStyle w:val="Heading1"/>
        <w:spacing w:before="76"/>
        <w:ind w:left="0" w:right="220" w:firstLine="0"/>
        <w:rPr>
          <w:sz w:val="34"/>
          <w:szCs w:val="34"/>
        </w:rPr>
      </w:pPr>
      <w:r>
        <w:rPr>
          <w:sz w:val="34"/>
          <w:szCs w:val="34"/>
        </w:rPr>
        <w:t>Department of Biochemistry and Cell Biology</w:t>
      </w:r>
    </w:p>
    <w:p w14:paraId="00000003" w14:textId="77777777" w:rsidR="00A427B6" w:rsidRDefault="00000000">
      <w:pPr>
        <w:pBdr>
          <w:top w:val="nil"/>
          <w:left w:val="nil"/>
          <w:bottom w:val="nil"/>
          <w:right w:val="nil"/>
          <w:between w:val="nil"/>
        </w:pBdr>
        <w:spacing w:before="272"/>
        <w:rPr>
          <w:color w:val="000000"/>
          <w:sz w:val="24"/>
          <w:szCs w:val="24"/>
        </w:rPr>
      </w:pPr>
      <w:r>
        <w:rPr>
          <w:color w:val="000000"/>
          <w:sz w:val="24"/>
          <w:szCs w:val="24"/>
        </w:rPr>
        <w:t>Training in RCRS occurs at three levels:</w:t>
      </w:r>
    </w:p>
    <w:p w14:paraId="00000004" w14:textId="77777777" w:rsidR="00A427B6" w:rsidRDefault="00A427B6">
      <w:pPr>
        <w:pBdr>
          <w:top w:val="nil"/>
          <w:left w:val="nil"/>
          <w:bottom w:val="nil"/>
          <w:right w:val="nil"/>
          <w:between w:val="nil"/>
        </w:pBdr>
        <w:rPr>
          <w:color w:val="000000"/>
          <w:sz w:val="24"/>
          <w:szCs w:val="24"/>
        </w:rPr>
      </w:pPr>
    </w:p>
    <w:p w14:paraId="00000005" w14:textId="77777777" w:rsidR="00A427B6" w:rsidRDefault="00000000">
      <w:pPr>
        <w:pStyle w:val="Heading2"/>
        <w:numPr>
          <w:ilvl w:val="0"/>
          <w:numId w:val="1"/>
        </w:numPr>
        <w:tabs>
          <w:tab w:val="left" w:pos="258"/>
        </w:tabs>
        <w:rPr>
          <w:b w:val="0"/>
          <w:bCs w:val="0"/>
        </w:rPr>
      </w:pPr>
      <w:bookmarkStart w:id="0" w:name="_8dexhnk9i7pt" w:colFirst="0" w:colLast="0"/>
      <w:bookmarkEnd w:id="0"/>
      <w:r>
        <w:t>Collaborative Institute Training Initiative (CITI) training</w:t>
      </w:r>
      <w:r>
        <w:rPr>
          <w:b w:val="0"/>
          <w:bCs w:val="0"/>
        </w:rPr>
        <w:t>.</w:t>
      </w:r>
    </w:p>
    <w:p w14:paraId="00000006" w14:textId="77777777" w:rsidR="00A427B6" w:rsidRDefault="00000000">
      <w:pPr>
        <w:pBdr>
          <w:top w:val="nil"/>
          <w:left w:val="nil"/>
          <w:bottom w:val="nil"/>
          <w:right w:val="nil"/>
          <w:between w:val="nil"/>
        </w:pBdr>
        <w:ind w:right="30" w:firstLine="719"/>
        <w:rPr>
          <w:color w:val="000000"/>
          <w:sz w:val="24"/>
          <w:szCs w:val="24"/>
        </w:rPr>
      </w:pPr>
      <w:r>
        <w:rPr>
          <w:color w:val="000000"/>
          <w:sz w:val="24"/>
          <w:szCs w:val="24"/>
        </w:rPr>
        <w:t>This training is done through modules that have to be completed online. All members of Departmental labs that are engaged in research (Faculty, postdocs, graduate students, undergraduate students and technical staff) are required to complete CITI training. Graduate students are required to complete the training within their first semester in graduate school. Completion of CITI training is judged by passing a quiz given at the end of each module. There are seven required modules:</w:t>
      </w:r>
    </w:p>
    <w:p w14:paraId="00000007" w14:textId="77777777" w:rsidR="00A427B6" w:rsidRDefault="00000000">
      <w:pPr>
        <w:numPr>
          <w:ilvl w:val="1"/>
          <w:numId w:val="1"/>
        </w:numPr>
        <w:pBdr>
          <w:top w:val="nil"/>
          <w:left w:val="nil"/>
          <w:bottom w:val="nil"/>
          <w:right w:val="nil"/>
          <w:between w:val="nil"/>
        </w:pBdr>
        <w:tabs>
          <w:tab w:val="left" w:pos="720"/>
        </w:tabs>
        <w:rPr>
          <w:color w:val="000000"/>
        </w:rPr>
      </w:pPr>
      <w:r>
        <w:rPr>
          <w:color w:val="000000"/>
          <w:sz w:val="24"/>
          <w:szCs w:val="24"/>
        </w:rPr>
        <w:t>Research Misconduct</w:t>
      </w:r>
    </w:p>
    <w:p w14:paraId="00000008" w14:textId="77777777" w:rsidR="00A427B6" w:rsidRDefault="00000000">
      <w:pPr>
        <w:numPr>
          <w:ilvl w:val="1"/>
          <w:numId w:val="1"/>
        </w:numPr>
        <w:pBdr>
          <w:top w:val="nil"/>
          <w:left w:val="nil"/>
          <w:bottom w:val="nil"/>
          <w:right w:val="nil"/>
          <w:between w:val="nil"/>
        </w:pBdr>
        <w:tabs>
          <w:tab w:val="left" w:pos="720"/>
        </w:tabs>
        <w:spacing w:before="1"/>
        <w:rPr>
          <w:color w:val="000000"/>
        </w:rPr>
      </w:pPr>
      <w:r>
        <w:rPr>
          <w:color w:val="000000"/>
          <w:sz w:val="24"/>
          <w:szCs w:val="24"/>
        </w:rPr>
        <w:t>Data Management</w:t>
      </w:r>
    </w:p>
    <w:p w14:paraId="00000009" w14:textId="77777777" w:rsidR="00A427B6" w:rsidRDefault="00000000">
      <w:pPr>
        <w:numPr>
          <w:ilvl w:val="1"/>
          <w:numId w:val="1"/>
        </w:numPr>
        <w:pBdr>
          <w:top w:val="nil"/>
          <w:left w:val="nil"/>
          <w:bottom w:val="nil"/>
          <w:right w:val="nil"/>
          <w:between w:val="nil"/>
        </w:pBdr>
        <w:tabs>
          <w:tab w:val="left" w:pos="720"/>
        </w:tabs>
        <w:rPr>
          <w:color w:val="000000"/>
        </w:rPr>
      </w:pPr>
      <w:r>
        <w:rPr>
          <w:color w:val="000000"/>
          <w:sz w:val="24"/>
          <w:szCs w:val="24"/>
        </w:rPr>
        <w:t>Authorship</w:t>
      </w:r>
    </w:p>
    <w:p w14:paraId="0000000A" w14:textId="77777777" w:rsidR="00A427B6" w:rsidRDefault="00000000">
      <w:pPr>
        <w:numPr>
          <w:ilvl w:val="1"/>
          <w:numId w:val="1"/>
        </w:numPr>
        <w:pBdr>
          <w:top w:val="nil"/>
          <w:left w:val="nil"/>
          <w:bottom w:val="nil"/>
          <w:right w:val="nil"/>
          <w:between w:val="nil"/>
        </w:pBdr>
        <w:tabs>
          <w:tab w:val="left" w:pos="720"/>
        </w:tabs>
        <w:rPr>
          <w:color w:val="000000"/>
        </w:rPr>
      </w:pPr>
      <w:r>
        <w:rPr>
          <w:color w:val="000000"/>
          <w:sz w:val="24"/>
          <w:szCs w:val="24"/>
        </w:rPr>
        <w:t>Mentoring</w:t>
      </w:r>
    </w:p>
    <w:p w14:paraId="0000000B" w14:textId="77777777" w:rsidR="00A427B6" w:rsidRDefault="00000000">
      <w:pPr>
        <w:numPr>
          <w:ilvl w:val="1"/>
          <w:numId w:val="1"/>
        </w:numPr>
        <w:pBdr>
          <w:top w:val="nil"/>
          <w:left w:val="nil"/>
          <w:bottom w:val="nil"/>
          <w:right w:val="nil"/>
          <w:between w:val="nil"/>
        </w:pBdr>
        <w:tabs>
          <w:tab w:val="left" w:pos="720"/>
        </w:tabs>
        <w:rPr>
          <w:color w:val="000000"/>
        </w:rPr>
      </w:pPr>
      <w:r>
        <w:rPr>
          <w:color w:val="000000"/>
          <w:sz w:val="24"/>
          <w:szCs w:val="24"/>
        </w:rPr>
        <w:t>Peer Review</w:t>
      </w:r>
    </w:p>
    <w:p w14:paraId="0000000C" w14:textId="77777777" w:rsidR="00A427B6" w:rsidRDefault="00000000">
      <w:pPr>
        <w:numPr>
          <w:ilvl w:val="1"/>
          <w:numId w:val="1"/>
        </w:numPr>
        <w:pBdr>
          <w:top w:val="nil"/>
          <w:left w:val="nil"/>
          <w:bottom w:val="nil"/>
          <w:right w:val="nil"/>
          <w:between w:val="nil"/>
        </w:pBdr>
        <w:tabs>
          <w:tab w:val="left" w:pos="720"/>
        </w:tabs>
        <w:rPr>
          <w:color w:val="000000"/>
        </w:rPr>
      </w:pPr>
      <w:r>
        <w:rPr>
          <w:color w:val="000000"/>
          <w:sz w:val="24"/>
          <w:szCs w:val="24"/>
        </w:rPr>
        <w:t>Conflicts of Interest</w:t>
      </w:r>
    </w:p>
    <w:p w14:paraId="0000000D" w14:textId="77777777" w:rsidR="00A427B6" w:rsidRDefault="00000000">
      <w:pPr>
        <w:numPr>
          <w:ilvl w:val="1"/>
          <w:numId w:val="1"/>
        </w:numPr>
        <w:pBdr>
          <w:top w:val="nil"/>
          <w:left w:val="nil"/>
          <w:bottom w:val="nil"/>
          <w:right w:val="nil"/>
          <w:between w:val="nil"/>
        </w:pBdr>
        <w:tabs>
          <w:tab w:val="left" w:pos="720"/>
        </w:tabs>
        <w:rPr>
          <w:color w:val="000000"/>
        </w:rPr>
      </w:pPr>
      <w:r>
        <w:rPr>
          <w:color w:val="000000"/>
          <w:sz w:val="24"/>
          <w:szCs w:val="24"/>
        </w:rPr>
        <w:t>Collaborative Research</w:t>
      </w:r>
    </w:p>
    <w:p w14:paraId="0000000E" w14:textId="77777777" w:rsidR="00A427B6" w:rsidRDefault="00000000">
      <w:pPr>
        <w:pBdr>
          <w:top w:val="nil"/>
          <w:left w:val="nil"/>
          <w:bottom w:val="nil"/>
          <w:right w:val="nil"/>
          <w:between w:val="nil"/>
        </w:pBdr>
        <w:rPr>
          <w:color w:val="000000"/>
          <w:sz w:val="24"/>
          <w:szCs w:val="24"/>
        </w:rPr>
      </w:pPr>
      <w:r>
        <w:rPr>
          <w:color w:val="000000"/>
          <w:sz w:val="24"/>
          <w:szCs w:val="24"/>
        </w:rPr>
        <w:t xml:space="preserve">And two additional modules required if appropriate </w:t>
      </w:r>
      <w:proofErr w:type="gramStart"/>
      <w:r>
        <w:rPr>
          <w:color w:val="000000"/>
          <w:sz w:val="24"/>
          <w:szCs w:val="24"/>
        </w:rPr>
        <w:t>to</w:t>
      </w:r>
      <w:proofErr w:type="gramEnd"/>
      <w:r>
        <w:rPr>
          <w:color w:val="000000"/>
          <w:sz w:val="24"/>
          <w:szCs w:val="24"/>
        </w:rPr>
        <w:t xml:space="preserve"> the research project:</w:t>
      </w:r>
    </w:p>
    <w:p w14:paraId="0000000F" w14:textId="77777777" w:rsidR="00A427B6" w:rsidRDefault="00000000">
      <w:pPr>
        <w:numPr>
          <w:ilvl w:val="1"/>
          <w:numId w:val="1"/>
        </w:numPr>
        <w:pBdr>
          <w:top w:val="nil"/>
          <w:left w:val="nil"/>
          <w:bottom w:val="nil"/>
          <w:right w:val="nil"/>
          <w:between w:val="nil"/>
        </w:pBdr>
        <w:tabs>
          <w:tab w:val="left" w:pos="720"/>
        </w:tabs>
        <w:rPr>
          <w:color w:val="000000"/>
        </w:rPr>
      </w:pPr>
      <w:r>
        <w:rPr>
          <w:color w:val="000000"/>
          <w:sz w:val="24"/>
          <w:szCs w:val="24"/>
        </w:rPr>
        <w:t>Using Animal Subjects in Research</w:t>
      </w:r>
    </w:p>
    <w:p w14:paraId="00000010" w14:textId="77777777" w:rsidR="00A427B6" w:rsidRDefault="00000000">
      <w:pPr>
        <w:numPr>
          <w:ilvl w:val="1"/>
          <w:numId w:val="1"/>
        </w:numPr>
        <w:pBdr>
          <w:top w:val="nil"/>
          <w:left w:val="nil"/>
          <w:bottom w:val="nil"/>
          <w:right w:val="nil"/>
          <w:between w:val="nil"/>
        </w:pBdr>
        <w:tabs>
          <w:tab w:val="left" w:pos="720"/>
        </w:tabs>
        <w:rPr>
          <w:color w:val="000000"/>
        </w:rPr>
      </w:pPr>
      <w:r>
        <w:rPr>
          <w:color w:val="000000"/>
          <w:sz w:val="24"/>
          <w:szCs w:val="24"/>
        </w:rPr>
        <w:t>Research Involving Human Subjects</w:t>
      </w:r>
    </w:p>
    <w:p w14:paraId="00000011" w14:textId="77777777" w:rsidR="00A427B6" w:rsidRDefault="00A427B6">
      <w:pPr>
        <w:pBdr>
          <w:top w:val="nil"/>
          <w:left w:val="nil"/>
          <w:bottom w:val="nil"/>
          <w:right w:val="nil"/>
          <w:between w:val="nil"/>
        </w:pBdr>
        <w:spacing w:before="5"/>
        <w:rPr>
          <w:color w:val="000000"/>
          <w:sz w:val="24"/>
          <w:szCs w:val="24"/>
        </w:rPr>
      </w:pPr>
    </w:p>
    <w:p w14:paraId="00000012" w14:textId="77777777" w:rsidR="00A427B6" w:rsidRDefault="00000000">
      <w:pPr>
        <w:pStyle w:val="Heading2"/>
        <w:numPr>
          <w:ilvl w:val="0"/>
          <w:numId w:val="1"/>
        </w:numPr>
        <w:tabs>
          <w:tab w:val="left" w:pos="258"/>
        </w:tabs>
        <w:spacing w:line="274" w:lineRule="auto"/>
      </w:pPr>
      <w:bookmarkStart w:id="1" w:name="_ty5jd25h2i5b" w:colFirst="0" w:colLast="0"/>
      <w:bookmarkEnd w:id="1"/>
      <w:r>
        <w:t>GRD 500: Integrity in Science</w:t>
      </w:r>
    </w:p>
    <w:p w14:paraId="00000013" w14:textId="77777777" w:rsidR="00A427B6" w:rsidRDefault="00000000">
      <w:pPr>
        <w:pBdr>
          <w:top w:val="nil"/>
          <w:left w:val="nil"/>
          <w:bottom w:val="nil"/>
          <w:right w:val="nil"/>
          <w:between w:val="nil"/>
        </w:pBdr>
        <w:ind w:firstLine="719"/>
        <w:rPr>
          <w:color w:val="000000"/>
          <w:sz w:val="24"/>
          <w:szCs w:val="24"/>
        </w:rPr>
      </w:pPr>
      <w:r>
        <w:rPr>
          <w:color w:val="000000"/>
          <w:sz w:val="24"/>
          <w:szCs w:val="24"/>
        </w:rPr>
        <w:t>This is a live course in which a combination of readings, videos, lectures, case discussion and other exercises are used to investigate the moral values intrinsic to the practice of science as well as investigate the rules – federal, state, institutional and contractual – with which scientists must comply. Ph.D. students are required to complete GRD 500 by the end of the 3rd semester.</w:t>
      </w:r>
    </w:p>
    <w:p w14:paraId="00000014" w14:textId="77777777" w:rsidR="00A427B6" w:rsidRDefault="00A427B6">
      <w:pPr>
        <w:pBdr>
          <w:top w:val="nil"/>
          <w:left w:val="nil"/>
          <w:bottom w:val="nil"/>
          <w:right w:val="nil"/>
          <w:between w:val="nil"/>
        </w:pBdr>
        <w:spacing w:before="3"/>
        <w:rPr>
          <w:color w:val="000000"/>
          <w:sz w:val="24"/>
          <w:szCs w:val="24"/>
        </w:rPr>
      </w:pPr>
    </w:p>
    <w:p w14:paraId="00000015" w14:textId="77777777" w:rsidR="00A427B6" w:rsidRDefault="00000000">
      <w:pPr>
        <w:pStyle w:val="Heading2"/>
        <w:numPr>
          <w:ilvl w:val="0"/>
          <w:numId w:val="1"/>
        </w:numPr>
        <w:tabs>
          <w:tab w:val="left" w:pos="259"/>
        </w:tabs>
        <w:spacing w:line="274" w:lineRule="auto"/>
      </w:pPr>
      <w:bookmarkStart w:id="2" w:name="_erx54habybmf" w:colFirst="0" w:colLast="0"/>
      <w:bookmarkEnd w:id="2"/>
      <w:r>
        <w:t>Continuing training for RCRS</w:t>
      </w:r>
    </w:p>
    <w:p w14:paraId="00000016" w14:textId="77777777" w:rsidR="00A427B6" w:rsidRDefault="00000000">
      <w:pPr>
        <w:pBdr>
          <w:top w:val="nil"/>
          <w:left w:val="nil"/>
          <w:bottom w:val="nil"/>
          <w:right w:val="nil"/>
          <w:between w:val="nil"/>
        </w:pBdr>
        <w:ind w:right="30" w:firstLine="719"/>
        <w:rPr>
          <w:color w:val="000000"/>
          <w:sz w:val="24"/>
          <w:szCs w:val="24"/>
        </w:rPr>
      </w:pPr>
      <w:r>
        <w:rPr>
          <w:color w:val="000000"/>
          <w:sz w:val="24"/>
          <w:szCs w:val="24"/>
        </w:rPr>
        <w:t xml:space="preserve">The department asks that each faculty member commit at least two group meetings per year to the discussion of RCRS issues. This allows issues of ethics or of scientific practice to be discussed in context of what is going on in the lab, for example, a discussion of why authorship on a lab paper is given in a particular order and has a specific subset of lab members, or a discussion of a proper recording in laboratory notebooks. The faculty member reports each training event to </w:t>
      </w:r>
      <w:proofErr w:type="spellStart"/>
      <w:proofErr w:type="gramStart"/>
      <w:r>
        <w:rPr>
          <w:color w:val="000000"/>
          <w:sz w:val="24"/>
          <w:szCs w:val="24"/>
        </w:rPr>
        <w:t>a</w:t>
      </w:r>
      <w:proofErr w:type="spellEnd"/>
      <w:r>
        <w:rPr>
          <w:color w:val="000000"/>
          <w:sz w:val="24"/>
          <w:szCs w:val="24"/>
        </w:rPr>
        <w:t xml:space="preserve"> our</w:t>
      </w:r>
      <w:proofErr w:type="gramEnd"/>
      <w:r>
        <w:rPr>
          <w:color w:val="000000"/>
          <w:sz w:val="24"/>
          <w:szCs w:val="24"/>
        </w:rPr>
        <w:t xml:space="preserve"> Director of Laboratories who will keep a record of the dates and participants for each session.</w:t>
      </w:r>
    </w:p>
    <w:p w14:paraId="00000017" w14:textId="77777777" w:rsidR="00A427B6" w:rsidRDefault="00000000">
      <w:pPr>
        <w:pBdr>
          <w:top w:val="nil"/>
          <w:left w:val="nil"/>
          <w:bottom w:val="nil"/>
          <w:right w:val="nil"/>
          <w:between w:val="nil"/>
        </w:pBdr>
        <w:spacing w:before="274"/>
        <w:ind w:firstLine="719"/>
        <w:rPr>
          <w:color w:val="000000"/>
          <w:sz w:val="24"/>
          <w:szCs w:val="24"/>
        </w:rPr>
      </w:pPr>
      <w:r>
        <w:rPr>
          <w:color w:val="000000"/>
          <w:sz w:val="24"/>
          <w:szCs w:val="24"/>
        </w:rPr>
        <w:t xml:space="preserve">Everyone engaged in research is expected to participate in levels 1 and 3. Ph.D. students in the Department are required to participate in all three levels of training. Sixth </w:t>
      </w:r>
      <w:r>
        <w:rPr>
          <w:color w:val="000000"/>
          <w:sz w:val="24"/>
          <w:szCs w:val="24"/>
        </w:rPr>
        <w:lastRenderedPageBreak/>
        <w:t>year Ph.D. students must repeat GRD500 or take another formal course in RCRS, as required by their specific graduate program.</w:t>
      </w:r>
    </w:p>
    <w:p w14:paraId="00000018" w14:textId="77777777" w:rsidR="00A427B6" w:rsidRDefault="00A427B6">
      <w:pPr>
        <w:pBdr>
          <w:top w:val="nil"/>
          <w:left w:val="nil"/>
          <w:bottom w:val="nil"/>
          <w:right w:val="nil"/>
          <w:between w:val="nil"/>
        </w:pBdr>
        <w:rPr>
          <w:color w:val="000000"/>
          <w:sz w:val="24"/>
          <w:szCs w:val="24"/>
        </w:rPr>
      </w:pPr>
    </w:p>
    <w:p w14:paraId="00000019" w14:textId="77777777" w:rsidR="00A427B6" w:rsidRDefault="00000000">
      <w:pPr>
        <w:pBdr>
          <w:top w:val="nil"/>
          <w:left w:val="nil"/>
          <w:bottom w:val="nil"/>
          <w:right w:val="nil"/>
          <w:between w:val="nil"/>
        </w:pBdr>
        <w:ind w:firstLine="719"/>
        <w:rPr>
          <w:color w:val="000000"/>
          <w:sz w:val="24"/>
          <w:szCs w:val="24"/>
        </w:rPr>
      </w:pPr>
      <w:r>
        <w:rPr>
          <w:color w:val="000000"/>
          <w:sz w:val="24"/>
          <w:szCs w:val="24"/>
        </w:rPr>
        <w:t>Departmental policy mirrors the RCRS training required by NIH and is subject to change as NIH standards change.</w:t>
      </w:r>
    </w:p>
    <w:sectPr w:rsidR="00A427B6">
      <w:pgSz w:w="12240" w:h="15840"/>
      <w:pgMar w:top="1360" w:right="1800" w:bottom="280" w:left="180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E314EE1-A0C1-4651-8523-91B9D5554421}"/>
  </w:font>
  <w:font w:name="Calibri">
    <w:panose1 w:val="020F0502020204030204"/>
    <w:charset w:val="00"/>
    <w:family w:val="swiss"/>
    <w:pitch w:val="variable"/>
    <w:sig w:usb0="E4002EFF" w:usb1="C200247B" w:usb2="00000009" w:usb3="00000000" w:csb0="000001FF" w:csb1="00000000"/>
    <w:embedRegular r:id="rId2" w:fontKey="{86383618-4274-48F1-AE6F-5DAB7E6A62A0}"/>
  </w:font>
  <w:font w:name="Cambria">
    <w:panose1 w:val="02040503050406030204"/>
    <w:charset w:val="00"/>
    <w:family w:val="roman"/>
    <w:pitch w:val="variable"/>
    <w:sig w:usb0="E00006FF" w:usb1="420024FF" w:usb2="02000000" w:usb3="00000000" w:csb0="0000019F" w:csb1="00000000"/>
    <w:embedRegular r:id="rId3" w:fontKey="{DD906CEA-0F8D-4E65-8B70-7AE824767AE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7E83"/>
    <w:multiLevelType w:val="multilevel"/>
    <w:tmpl w:val="86AE319C"/>
    <w:lvl w:ilvl="0">
      <w:start w:val="1"/>
      <w:numFmt w:val="decimal"/>
      <w:lvlText w:val="%1)"/>
      <w:lvlJc w:val="left"/>
      <w:pPr>
        <w:ind w:left="259" w:hanging="260"/>
      </w:pPr>
    </w:lvl>
    <w:lvl w:ilvl="1">
      <w:start w:val="1"/>
      <w:numFmt w:val="decimal"/>
      <w:lvlText w:val="%2."/>
      <w:lvlJc w:val="left"/>
      <w:pPr>
        <w:ind w:left="720" w:hanging="360"/>
      </w:pPr>
      <w:rPr>
        <w:rFonts w:ascii="Times New Roman" w:eastAsia="Times New Roman" w:hAnsi="Times New Roman" w:cs="Times New Roman"/>
        <w:b w:val="0"/>
        <w:bCs w:val="0"/>
        <w:i w:val="0"/>
        <w:iCs w:val="0"/>
        <w:sz w:val="24"/>
        <w:szCs w:val="24"/>
      </w:rPr>
    </w:lvl>
    <w:lvl w:ilvl="2">
      <w:numFmt w:val="bullet"/>
      <w:lvlText w:val="•"/>
      <w:lvlJc w:val="left"/>
      <w:pPr>
        <w:ind w:left="1600" w:hanging="360"/>
      </w:pPr>
    </w:lvl>
    <w:lvl w:ilvl="3">
      <w:numFmt w:val="bullet"/>
      <w:lvlText w:val="•"/>
      <w:lvlJc w:val="left"/>
      <w:pPr>
        <w:ind w:left="2480" w:hanging="360"/>
      </w:pPr>
    </w:lvl>
    <w:lvl w:ilvl="4">
      <w:numFmt w:val="bullet"/>
      <w:lvlText w:val="•"/>
      <w:lvlJc w:val="left"/>
      <w:pPr>
        <w:ind w:left="3360" w:hanging="360"/>
      </w:pPr>
    </w:lvl>
    <w:lvl w:ilvl="5">
      <w:numFmt w:val="bullet"/>
      <w:lvlText w:val="•"/>
      <w:lvlJc w:val="left"/>
      <w:pPr>
        <w:ind w:left="4240" w:hanging="360"/>
      </w:pPr>
    </w:lvl>
    <w:lvl w:ilvl="6">
      <w:numFmt w:val="bullet"/>
      <w:lvlText w:val="•"/>
      <w:lvlJc w:val="left"/>
      <w:pPr>
        <w:ind w:left="5120" w:hanging="360"/>
      </w:pPr>
    </w:lvl>
    <w:lvl w:ilvl="7">
      <w:numFmt w:val="bullet"/>
      <w:lvlText w:val="•"/>
      <w:lvlJc w:val="left"/>
      <w:pPr>
        <w:ind w:left="6000" w:hanging="360"/>
      </w:pPr>
    </w:lvl>
    <w:lvl w:ilvl="8">
      <w:numFmt w:val="bullet"/>
      <w:lvlText w:val="•"/>
      <w:lvlJc w:val="left"/>
      <w:pPr>
        <w:ind w:left="6880" w:hanging="360"/>
      </w:pPr>
    </w:lvl>
  </w:abstractNum>
  <w:num w:numId="1" w16cid:durableId="858734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7B6"/>
    <w:rsid w:val="006D525D"/>
    <w:rsid w:val="00A427B6"/>
    <w:rsid w:val="00B80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362B5D-AACA-4D33-976D-E93AEDA77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58" w:hanging="258"/>
      <w:outlineLvl w:val="0"/>
    </w:pPr>
    <w:rPr>
      <w:b/>
      <w:bCs/>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2035</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Rodriguez</cp:lastModifiedBy>
  <cp:revision>2</cp:revision>
  <dcterms:created xsi:type="dcterms:W3CDTF">2026-08-06T18:57:00Z</dcterms:created>
  <dcterms:modified xsi:type="dcterms:W3CDTF">2026-08-06T18:57:00Z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2019-06-28T00:00:00Z</vt:lpwstr>
  </property>
  <property fmtid="{D5CDD505-2E9C-101B-9397-08002B2CF9AE}" pid="3" name="Creator">
    <vt:lpwstr>Microsoft® Word 2013</vt:lpwstr>
  </property>
  <property fmtid="{D5CDD505-2E9C-101B-9397-08002B2CF9AE}" pid="4" name="LastSaved">
    <vt:lpwstr>2026-08-06T00:00:00Z</vt:lpwstr>
  </property>
  <property fmtid="{D5CDD505-2E9C-101B-9397-08002B2CF9AE}" pid="5" name="Producer">
    <vt:lpwstr>Microsoft® Word 2013</vt:lpwstr>
  </property>
</Properties>
</file>