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Department of Asian and Asian American Studies Policy</w:t>
      </w:r>
      <w:r>
        <w:rPr>
          <w:spacing w:val="-7"/>
        </w:rPr>
        <w:t> </w:t>
      </w:r>
      <w:r>
        <w:rPr/>
        <w:t>on</w:t>
      </w:r>
      <w:r>
        <w:rPr>
          <w:spacing w:val="-5"/>
        </w:rPr>
        <w:t> </w:t>
      </w:r>
      <w:r>
        <w:rPr/>
        <w:t>Responsible</w:t>
      </w:r>
      <w:r>
        <w:rPr>
          <w:spacing w:val="-5"/>
        </w:rPr>
        <w:t> </w:t>
      </w:r>
      <w:r>
        <w:rPr/>
        <w:t>Conduct</w:t>
      </w:r>
      <w:r>
        <w:rPr>
          <w:spacing w:val="-5"/>
        </w:rPr>
        <w:t> </w:t>
      </w:r>
      <w:r>
        <w:rPr/>
        <w:t>of</w:t>
      </w:r>
      <w:r>
        <w:rPr>
          <w:spacing w:val="-5"/>
        </w:rPr>
        <w:t> </w:t>
      </w:r>
      <w:r>
        <w:rPr/>
        <w:t>Research</w:t>
      </w:r>
      <w:r>
        <w:rPr>
          <w:spacing w:val="-5"/>
        </w:rPr>
        <w:t> </w:t>
      </w:r>
      <w:r>
        <w:rPr/>
        <w:t>and</w:t>
      </w:r>
      <w:r>
        <w:rPr>
          <w:spacing w:val="-5"/>
        </w:rPr>
        <w:t> </w:t>
      </w:r>
      <w:r>
        <w:rPr/>
        <w:t>Scholarship</w:t>
      </w:r>
    </w:p>
    <w:p>
      <w:pPr>
        <w:pStyle w:val="BodyText"/>
        <w:spacing w:before="316"/>
        <w:ind w:left="0" w:right="356" w:firstLine="0"/>
        <w:jc w:val="center"/>
      </w:pPr>
      <w:r>
        <w:rPr/>
        <w:t>April</w:t>
      </w:r>
      <w:r>
        <w:rPr>
          <w:spacing w:val="-2"/>
        </w:rPr>
        <w:t> </w:t>
      </w:r>
      <w:r>
        <w:rPr>
          <w:spacing w:val="-4"/>
        </w:rPr>
        <w:t>2019</w:t>
      </w:r>
    </w:p>
    <w:p>
      <w:pPr>
        <w:pStyle w:val="ListParagraph"/>
        <w:numPr>
          <w:ilvl w:val="0"/>
          <w:numId w:val="1"/>
        </w:numPr>
        <w:tabs>
          <w:tab w:pos="360" w:val="left" w:leader="none"/>
        </w:tabs>
        <w:spacing w:line="240" w:lineRule="auto" w:before="254" w:after="0"/>
        <w:ind w:left="360" w:right="118" w:hanging="360"/>
        <w:jc w:val="left"/>
        <w:rPr>
          <w:b/>
          <w:i/>
          <w:sz w:val="24"/>
        </w:rPr>
      </w:pPr>
      <w:r>
        <w:rPr>
          <w:b/>
          <w:i/>
          <w:sz w:val="24"/>
        </w:rPr>
        <w:t>Purpose.</w:t>
      </w:r>
      <w:r>
        <w:rPr>
          <w:b/>
          <w:i/>
          <w:spacing w:val="40"/>
          <w:sz w:val="24"/>
        </w:rPr>
        <w:t> </w:t>
      </w:r>
      <w:r>
        <w:rPr>
          <w:sz w:val="24"/>
        </w:rPr>
        <w:t>The purpose of the policy is to raise the awareness of faculty, staff, and students</w:t>
      </w:r>
      <w:r>
        <w:rPr>
          <w:spacing w:val="-3"/>
          <w:sz w:val="24"/>
        </w:rPr>
        <w:t> </w:t>
      </w:r>
      <w:r>
        <w:rPr>
          <w:sz w:val="24"/>
        </w:rPr>
        <w:t>regarding</w:t>
      </w:r>
      <w:r>
        <w:rPr>
          <w:spacing w:val="-6"/>
          <w:sz w:val="24"/>
        </w:rPr>
        <w:t> </w:t>
      </w:r>
      <w:r>
        <w:rPr>
          <w:sz w:val="24"/>
        </w:rPr>
        <w:t>the</w:t>
      </w:r>
      <w:r>
        <w:rPr>
          <w:spacing w:val="-2"/>
          <w:sz w:val="24"/>
        </w:rPr>
        <w:t> </w:t>
      </w:r>
      <w:r>
        <w:rPr>
          <w:sz w:val="24"/>
        </w:rPr>
        <w:t>ethical</w:t>
      </w:r>
      <w:r>
        <w:rPr>
          <w:spacing w:val="-3"/>
          <w:sz w:val="24"/>
        </w:rPr>
        <w:t> </w:t>
      </w:r>
      <w:r>
        <w:rPr>
          <w:sz w:val="24"/>
        </w:rPr>
        <w:t>and</w:t>
      </w:r>
      <w:r>
        <w:rPr>
          <w:spacing w:val="-3"/>
          <w:sz w:val="24"/>
        </w:rPr>
        <w:t> </w:t>
      </w:r>
      <w:r>
        <w:rPr>
          <w:sz w:val="24"/>
        </w:rPr>
        <w:t>responsible</w:t>
      </w:r>
      <w:r>
        <w:rPr>
          <w:spacing w:val="-2"/>
          <w:sz w:val="24"/>
        </w:rPr>
        <w:t> </w:t>
      </w:r>
      <w:r>
        <w:rPr>
          <w:sz w:val="24"/>
        </w:rPr>
        <w:t>conduct</w:t>
      </w:r>
      <w:r>
        <w:rPr>
          <w:spacing w:val="-3"/>
          <w:sz w:val="24"/>
        </w:rPr>
        <w:t> </w:t>
      </w:r>
      <w:r>
        <w:rPr>
          <w:sz w:val="24"/>
        </w:rPr>
        <w:t>of</w:t>
      </w:r>
      <w:r>
        <w:rPr>
          <w:spacing w:val="-3"/>
          <w:sz w:val="24"/>
        </w:rPr>
        <w:t> </w:t>
      </w:r>
      <w:r>
        <w:rPr>
          <w:sz w:val="24"/>
        </w:rPr>
        <w:t>research</w:t>
      </w:r>
      <w:r>
        <w:rPr>
          <w:spacing w:val="-3"/>
          <w:sz w:val="24"/>
        </w:rPr>
        <w:t> </w:t>
      </w:r>
      <w:r>
        <w:rPr>
          <w:sz w:val="24"/>
        </w:rPr>
        <w:t>and</w:t>
      </w:r>
      <w:r>
        <w:rPr>
          <w:spacing w:val="-3"/>
          <w:sz w:val="24"/>
        </w:rPr>
        <w:t> </w:t>
      </w:r>
      <w:r>
        <w:rPr>
          <w:sz w:val="24"/>
        </w:rPr>
        <w:t>scholarly</w:t>
      </w:r>
      <w:r>
        <w:rPr>
          <w:spacing w:val="-6"/>
          <w:sz w:val="24"/>
        </w:rPr>
        <w:t> </w:t>
      </w:r>
      <w:r>
        <w:rPr>
          <w:sz w:val="24"/>
        </w:rPr>
        <w:t>activity; to</w:t>
      </w:r>
      <w:r>
        <w:rPr>
          <w:spacing w:val="-4"/>
          <w:sz w:val="24"/>
        </w:rPr>
        <w:t> </w:t>
      </w:r>
      <w:r>
        <w:rPr>
          <w:sz w:val="24"/>
        </w:rPr>
        <w:t>define</w:t>
      </w:r>
      <w:r>
        <w:rPr>
          <w:spacing w:val="-4"/>
          <w:sz w:val="24"/>
        </w:rPr>
        <w:t> </w:t>
      </w:r>
      <w:r>
        <w:rPr>
          <w:sz w:val="24"/>
        </w:rPr>
        <w:t>professional</w:t>
      </w:r>
      <w:r>
        <w:rPr>
          <w:spacing w:val="-4"/>
          <w:sz w:val="24"/>
        </w:rPr>
        <w:t> </w:t>
      </w:r>
      <w:r>
        <w:rPr>
          <w:sz w:val="24"/>
        </w:rPr>
        <w:t>behavior</w:t>
      </w:r>
      <w:r>
        <w:rPr>
          <w:spacing w:val="-4"/>
          <w:sz w:val="24"/>
        </w:rPr>
        <w:t> </w:t>
      </w:r>
      <w:r>
        <w:rPr>
          <w:sz w:val="24"/>
        </w:rPr>
        <w:t>to</w:t>
      </w:r>
      <w:r>
        <w:rPr>
          <w:spacing w:val="-4"/>
          <w:sz w:val="24"/>
        </w:rPr>
        <w:t> </w:t>
      </w:r>
      <w:r>
        <w:rPr>
          <w:sz w:val="24"/>
        </w:rPr>
        <w:t>assist</w:t>
      </w:r>
      <w:r>
        <w:rPr>
          <w:spacing w:val="-4"/>
          <w:sz w:val="24"/>
        </w:rPr>
        <w:t> </w:t>
      </w:r>
      <w:r>
        <w:rPr>
          <w:sz w:val="24"/>
        </w:rPr>
        <w:t>faculty,</w:t>
      </w:r>
      <w:r>
        <w:rPr>
          <w:spacing w:val="-4"/>
          <w:sz w:val="24"/>
        </w:rPr>
        <w:t> </w:t>
      </w:r>
      <w:r>
        <w:rPr>
          <w:sz w:val="24"/>
        </w:rPr>
        <w:t>staff,</w:t>
      </w:r>
      <w:r>
        <w:rPr>
          <w:spacing w:val="-4"/>
          <w:sz w:val="24"/>
        </w:rPr>
        <w:t> </w:t>
      </w:r>
      <w:r>
        <w:rPr>
          <w:sz w:val="24"/>
        </w:rPr>
        <w:t>and</w:t>
      </w:r>
      <w:r>
        <w:rPr>
          <w:spacing w:val="-4"/>
          <w:sz w:val="24"/>
        </w:rPr>
        <w:t> </w:t>
      </w:r>
      <w:r>
        <w:rPr>
          <w:sz w:val="24"/>
        </w:rPr>
        <w:t>students</w:t>
      </w:r>
      <w:r>
        <w:rPr>
          <w:spacing w:val="-4"/>
          <w:sz w:val="24"/>
        </w:rPr>
        <w:t> </w:t>
      </w:r>
      <w:r>
        <w:rPr>
          <w:sz w:val="24"/>
        </w:rPr>
        <w:t>in</w:t>
      </w:r>
      <w:r>
        <w:rPr>
          <w:spacing w:val="-4"/>
          <w:sz w:val="24"/>
        </w:rPr>
        <w:t> </w:t>
      </w:r>
      <w:r>
        <w:rPr>
          <w:sz w:val="24"/>
        </w:rPr>
        <w:t>making</w:t>
      </w:r>
      <w:r>
        <w:rPr>
          <w:spacing w:val="-6"/>
          <w:sz w:val="24"/>
        </w:rPr>
        <w:t> </w:t>
      </w:r>
      <w:r>
        <w:rPr>
          <w:sz w:val="24"/>
        </w:rPr>
        <w:t>ethical</w:t>
      </w:r>
      <w:r>
        <w:rPr>
          <w:spacing w:val="-4"/>
          <w:sz w:val="24"/>
        </w:rPr>
        <w:t> </w:t>
      </w:r>
      <w:r>
        <w:rPr>
          <w:sz w:val="24"/>
        </w:rPr>
        <w:t>and responsible decisions in the conduct of research and scholarly activity; and to foster a departmental culture of integrity in research and scholarly activity that is enduring.</w:t>
      </w:r>
    </w:p>
    <w:p>
      <w:pPr>
        <w:pStyle w:val="BodyText"/>
        <w:ind w:left="0" w:firstLine="0"/>
      </w:pPr>
    </w:p>
    <w:p>
      <w:pPr>
        <w:pStyle w:val="ListParagraph"/>
        <w:numPr>
          <w:ilvl w:val="0"/>
          <w:numId w:val="1"/>
        </w:numPr>
        <w:tabs>
          <w:tab w:pos="360" w:val="left" w:leader="none"/>
        </w:tabs>
        <w:spacing w:line="240" w:lineRule="auto" w:before="0" w:after="0"/>
        <w:ind w:left="360" w:right="260" w:hanging="360"/>
        <w:jc w:val="left"/>
        <w:rPr>
          <w:b/>
          <w:i/>
          <w:sz w:val="24"/>
        </w:rPr>
      </w:pPr>
      <w:r>
        <w:rPr>
          <w:b/>
          <w:i/>
          <w:sz w:val="24"/>
        </w:rPr>
        <w:t>Standards.</w:t>
      </w:r>
      <w:r>
        <w:rPr>
          <w:b/>
          <w:i/>
          <w:spacing w:val="-4"/>
          <w:sz w:val="24"/>
        </w:rPr>
        <w:t> </w:t>
      </w:r>
      <w:r>
        <w:rPr>
          <w:sz w:val="24"/>
        </w:rPr>
        <w:t>The</w:t>
      </w:r>
      <w:r>
        <w:rPr>
          <w:spacing w:val="-6"/>
          <w:sz w:val="24"/>
        </w:rPr>
        <w:t> </w:t>
      </w:r>
      <w:r>
        <w:rPr>
          <w:sz w:val="24"/>
        </w:rPr>
        <w:t>AAAS</w:t>
      </w:r>
      <w:r>
        <w:rPr>
          <w:spacing w:val="-4"/>
          <w:sz w:val="24"/>
        </w:rPr>
        <w:t> </w:t>
      </w:r>
      <w:r>
        <w:rPr>
          <w:sz w:val="24"/>
        </w:rPr>
        <w:t>Department</w:t>
      </w:r>
      <w:r>
        <w:rPr>
          <w:spacing w:val="-4"/>
          <w:sz w:val="24"/>
        </w:rPr>
        <w:t> </w:t>
      </w:r>
      <w:r>
        <w:rPr>
          <w:sz w:val="24"/>
        </w:rPr>
        <w:t>expects</w:t>
      </w:r>
      <w:r>
        <w:rPr>
          <w:spacing w:val="-4"/>
          <w:sz w:val="24"/>
        </w:rPr>
        <w:t> </w:t>
      </w:r>
      <w:r>
        <w:rPr>
          <w:sz w:val="24"/>
        </w:rPr>
        <w:t>its</w:t>
      </w:r>
      <w:r>
        <w:rPr>
          <w:spacing w:val="-4"/>
          <w:sz w:val="24"/>
        </w:rPr>
        <w:t> </w:t>
      </w:r>
      <w:r>
        <w:rPr>
          <w:sz w:val="24"/>
        </w:rPr>
        <w:t>faculty,</w:t>
      </w:r>
      <w:r>
        <w:rPr>
          <w:spacing w:val="-4"/>
          <w:sz w:val="24"/>
        </w:rPr>
        <w:t> </w:t>
      </w:r>
      <w:r>
        <w:rPr>
          <w:sz w:val="24"/>
        </w:rPr>
        <w:t>staff,</w:t>
      </w:r>
      <w:r>
        <w:rPr>
          <w:spacing w:val="-3"/>
          <w:sz w:val="24"/>
        </w:rPr>
        <w:t> </w:t>
      </w:r>
      <w:r>
        <w:rPr>
          <w:sz w:val="24"/>
        </w:rPr>
        <w:t>and</w:t>
      </w:r>
      <w:r>
        <w:rPr>
          <w:spacing w:val="-4"/>
          <w:sz w:val="24"/>
        </w:rPr>
        <w:t> </w:t>
      </w:r>
      <w:r>
        <w:rPr>
          <w:sz w:val="24"/>
        </w:rPr>
        <w:t>students</w:t>
      </w:r>
      <w:r>
        <w:rPr>
          <w:spacing w:val="-4"/>
          <w:sz w:val="24"/>
        </w:rPr>
        <w:t> </w:t>
      </w:r>
      <w:r>
        <w:rPr>
          <w:sz w:val="24"/>
        </w:rPr>
        <w:t>to</w:t>
      </w:r>
      <w:r>
        <w:rPr>
          <w:spacing w:val="-4"/>
          <w:sz w:val="24"/>
        </w:rPr>
        <w:t> </w:t>
      </w:r>
      <w:r>
        <w:rPr>
          <w:sz w:val="24"/>
        </w:rPr>
        <w:t>uphold</w:t>
      </w:r>
      <w:r>
        <w:rPr>
          <w:spacing w:val="-4"/>
          <w:sz w:val="24"/>
        </w:rPr>
        <w:t> </w:t>
      </w:r>
      <w:r>
        <w:rPr>
          <w:sz w:val="24"/>
        </w:rPr>
        <w:t>the standards fundamental to the ethical conduct of scholarly activity including honesty, respect, accuracy and fairness.</w:t>
      </w:r>
    </w:p>
    <w:p>
      <w:pPr>
        <w:pStyle w:val="BodyText"/>
        <w:spacing w:before="1"/>
        <w:ind w:left="0" w:firstLine="0"/>
      </w:pPr>
    </w:p>
    <w:p>
      <w:pPr>
        <w:pStyle w:val="ListParagraph"/>
        <w:numPr>
          <w:ilvl w:val="0"/>
          <w:numId w:val="1"/>
        </w:numPr>
        <w:tabs>
          <w:tab w:pos="359" w:val="left" w:leader="none"/>
        </w:tabs>
        <w:spacing w:line="240" w:lineRule="auto" w:before="0" w:after="0"/>
        <w:ind w:left="359" w:right="0" w:hanging="359"/>
        <w:jc w:val="left"/>
        <w:rPr>
          <w:b/>
          <w:i/>
          <w:sz w:val="22"/>
        </w:rPr>
      </w:pPr>
      <w:r>
        <w:rPr>
          <w:b/>
          <w:i/>
          <w:sz w:val="24"/>
        </w:rPr>
        <w:t>Misconduct</w:t>
      </w:r>
      <w:r>
        <w:rPr>
          <w:b/>
          <w:i/>
          <w:spacing w:val="-3"/>
          <w:sz w:val="24"/>
        </w:rPr>
        <w:t> </w:t>
      </w:r>
      <w:r>
        <w:rPr>
          <w:b/>
          <w:i/>
          <w:sz w:val="24"/>
        </w:rPr>
        <w:t>in</w:t>
      </w:r>
      <w:r>
        <w:rPr>
          <w:b/>
          <w:i/>
          <w:spacing w:val="-2"/>
          <w:sz w:val="24"/>
        </w:rPr>
        <w:t> </w:t>
      </w:r>
      <w:r>
        <w:rPr>
          <w:b/>
          <w:i/>
          <w:sz w:val="24"/>
        </w:rPr>
        <w:t>Scholarly</w:t>
      </w:r>
      <w:r>
        <w:rPr>
          <w:b/>
          <w:i/>
          <w:spacing w:val="-4"/>
          <w:sz w:val="24"/>
        </w:rPr>
        <w:t> </w:t>
      </w:r>
      <w:r>
        <w:rPr>
          <w:b/>
          <w:i/>
          <w:sz w:val="24"/>
        </w:rPr>
        <w:t>Activity.</w:t>
      </w:r>
      <w:r>
        <w:rPr>
          <w:b/>
          <w:i/>
          <w:spacing w:val="62"/>
          <w:sz w:val="24"/>
        </w:rPr>
        <w:t> </w:t>
      </w:r>
      <w:r>
        <w:rPr>
          <w:sz w:val="24"/>
        </w:rPr>
        <w:t>Misconduct</w:t>
      </w:r>
      <w:r>
        <w:rPr>
          <w:spacing w:val="-1"/>
          <w:sz w:val="24"/>
        </w:rPr>
        <w:t> </w:t>
      </w:r>
      <w:r>
        <w:rPr>
          <w:sz w:val="24"/>
        </w:rPr>
        <w:t>in scholarly</w:t>
      </w:r>
      <w:r>
        <w:rPr>
          <w:spacing w:val="-5"/>
          <w:sz w:val="24"/>
        </w:rPr>
        <w:t> </w:t>
      </w:r>
      <w:r>
        <w:rPr>
          <w:sz w:val="24"/>
        </w:rPr>
        <w:t>activity</w:t>
      </w:r>
      <w:r>
        <w:rPr>
          <w:spacing w:val="-5"/>
          <w:sz w:val="24"/>
        </w:rPr>
        <w:t> </w:t>
      </w:r>
      <w:r>
        <w:rPr>
          <w:spacing w:val="-2"/>
          <w:sz w:val="24"/>
        </w:rPr>
        <w:t>includes</w:t>
      </w:r>
    </w:p>
    <w:p>
      <w:pPr>
        <w:pStyle w:val="ListParagraph"/>
        <w:numPr>
          <w:ilvl w:val="1"/>
          <w:numId w:val="1"/>
        </w:numPr>
        <w:tabs>
          <w:tab w:pos="1080" w:val="left" w:leader="none"/>
        </w:tabs>
        <w:spacing w:line="240" w:lineRule="auto" w:before="0" w:after="0"/>
        <w:ind w:left="1080" w:right="416" w:hanging="360"/>
        <w:jc w:val="left"/>
        <w:rPr>
          <w:sz w:val="24"/>
        </w:rPr>
      </w:pPr>
      <w:r>
        <w:rPr>
          <w:sz w:val="24"/>
        </w:rPr>
        <w:t>fabrication,</w:t>
      </w:r>
      <w:r>
        <w:rPr>
          <w:spacing w:val="-6"/>
          <w:sz w:val="24"/>
        </w:rPr>
        <w:t> </w:t>
      </w:r>
      <w:r>
        <w:rPr>
          <w:sz w:val="24"/>
        </w:rPr>
        <w:t>falsification,</w:t>
      </w:r>
      <w:r>
        <w:rPr>
          <w:spacing w:val="-4"/>
          <w:sz w:val="24"/>
        </w:rPr>
        <w:t> </w:t>
      </w:r>
      <w:r>
        <w:rPr>
          <w:sz w:val="24"/>
        </w:rPr>
        <w:t>or</w:t>
      </w:r>
      <w:r>
        <w:rPr>
          <w:spacing w:val="-7"/>
          <w:sz w:val="24"/>
        </w:rPr>
        <w:t> </w:t>
      </w:r>
      <w:r>
        <w:rPr>
          <w:sz w:val="24"/>
        </w:rPr>
        <w:t>plagiarism</w:t>
      </w:r>
      <w:r>
        <w:rPr>
          <w:spacing w:val="-6"/>
          <w:sz w:val="24"/>
        </w:rPr>
        <w:t> </w:t>
      </w:r>
      <w:r>
        <w:rPr>
          <w:sz w:val="24"/>
        </w:rPr>
        <w:t>in</w:t>
      </w:r>
      <w:r>
        <w:rPr>
          <w:spacing w:val="-6"/>
          <w:sz w:val="24"/>
        </w:rPr>
        <w:t> </w:t>
      </w:r>
      <w:r>
        <w:rPr>
          <w:sz w:val="24"/>
        </w:rPr>
        <w:t>proposing,</w:t>
      </w:r>
      <w:r>
        <w:rPr>
          <w:spacing w:val="-6"/>
          <w:sz w:val="24"/>
        </w:rPr>
        <w:t> </w:t>
      </w:r>
      <w:r>
        <w:rPr>
          <w:sz w:val="24"/>
        </w:rPr>
        <w:t>performing,</w:t>
      </w:r>
      <w:r>
        <w:rPr>
          <w:spacing w:val="-6"/>
          <w:sz w:val="24"/>
        </w:rPr>
        <w:t> </w:t>
      </w:r>
      <w:r>
        <w:rPr>
          <w:sz w:val="24"/>
        </w:rPr>
        <w:t>or</w:t>
      </w:r>
      <w:r>
        <w:rPr>
          <w:spacing w:val="-5"/>
          <w:sz w:val="24"/>
        </w:rPr>
        <w:t> </w:t>
      </w:r>
      <w:r>
        <w:rPr>
          <w:sz w:val="24"/>
        </w:rPr>
        <w:t>reviewing scholarly activities, or in reporting results from scholarly activities;</w:t>
      </w:r>
    </w:p>
    <w:p>
      <w:pPr>
        <w:pStyle w:val="ListParagraph"/>
        <w:numPr>
          <w:ilvl w:val="1"/>
          <w:numId w:val="1"/>
        </w:numPr>
        <w:tabs>
          <w:tab w:pos="1080" w:val="left" w:leader="none"/>
        </w:tabs>
        <w:spacing w:line="240" w:lineRule="auto" w:before="0" w:after="0"/>
        <w:ind w:left="1080" w:right="875" w:hanging="360"/>
        <w:jc w:val="left"/>
        <w:rPr>
          <w:sz w:val="24"/>
        </w:rPr>
      </w:pPr>
      <w:r>
        <w:rPr>
          <w:sz w:val="24"/>
        </w:rPr>
        <w:t>misappropriation</w:t>
      </w:r>
      <w:r>
        <w:rPr>
          <w:spacing w:val="-4"/>
          <w:sz w:val="24"/>
        </w:rPr>
        <w:t> </w:t>
      </w:r>
      <w:r>
        <w:rPr>
          <w:sz w:val="24"/>
        </w:rPr>
        <w:t>of</w:t>
      </w:r>
      <w:r>
        <w:rPr>
          <w:spacing w:val="-5"/>
          <w:sz w:val="24"/>
        </w:rPr>
        <w:t> </w:t>
      </w:r>
      <w:r>
        <w:rPr>
          <w:sz w:val="24"/>
        </w:rPr>
        <w:t>the</w:t>
      </w:r>
      <w:r>
        <w:rPr>
          <w:spacing w:val="-4"/>
          <w:sz w:val="24"/>
        </w:rPr>
        <w:t> </w:t>
      </w:r>
      <w:r>
        <w:rPr>
          <w:sz w:val="24"/>
        </w:rPr>
        <w:t>ideas</w:t>
      </w:r>
      <w:r>
        <w:rPr>
          <w:spacing w:val="-4"/>
          <w:sz w:val="24"/>
        </w:rPr>
        <w:t> </w:t>
      </w:r>
      <w:r>
        <w:rPr>
          <w:sz w:val="24"/>
        </w:rPr>
        <w:t>of</w:t>
      </w:r>
      <w:r>
        <w:rPr>
          <w:spacing w:val="-4"/>
          <w:sz w:val="24"/>
        </w:rPr>
        <w:t> </w:t>
      </w:r>
      <w:r>
        <w:rPr>
          <w:sz w:val="24"/>
        </w:rPr>
        <w:t>others,</w:t>
      </w:r>
      <w:r>
        <w:rPr>
          <w:spacing w:val="-4"/>
          <w:sz w:val="24"/>
        </w:rPr>
        <w:t> </w:t>
      </w:r>
      <w:r>
        <w:rPr>
          <w:sz w:val="24"/>
        </w:rPr>
        <w:t>including</w:t>
      </w:r>
      <w:r>
        <w:rPr>
          <w:spacing w:val="-5"/>
          <w:sz w:val="24"/>
        </w:rPr>
        <w:t> </w:t>
      </w:r>
      <w:r>
        <w:rPr>
          <w:sz w:val="24"/>
        </w:rPr>
        <w:t>the</w:t>
      </w:r>
      <w:r>
        <w:rPr>
          <w:spacing w:val="-4"/>
          <w:sz w:val="24"/>
        </w:rPr>
        <w:t> </w:t>
      </w:r>
      <w:r>
        <w:rPr>
          <w:sz w:val="24"/>
        </w:rPr>
        <w:t>unauthorized</w:t>
      </w:r>
      <w:r>
        <w:rPr>
          <w:spacing w:val="-4"/>
          <w:sz w:val="24"/>
        </w:rPr>
        <w:t> </w:t>
      </w:r>
      <w:r>
        <w:rPr>
          <w:sz w:val="24"/>
        </w:rPr>
        <w:t>use</w:t>
      </w:r>
      <w:r>
        <w:rPr>
          <w:spacing w:val="-5"/>
          <w:sz w:val="24"/>
        </w:rPr>
        <w:t> </w:t>
      </w:r>
      <w:r>
        <w:rPr>
          <w:sz w:val="24"/>
        </w:rPr>
        <w:t>of privileged and/or confidential information;</w:t>
      </w:r>
    </w:p>
    <w:p>
      <w:pPr>
        <w:pStyle w:val="ListParagraph"/>
        <w:numPr>
          <w:ilvl w:val="1"/>
          <w:numId w:val="1"/>
        </w:numPr>
        <w:tabs>
          <w:tab w:pos="1079" w:val="left" w:leader="none"/>
        </w:tabs>
        <w:spacing w:line="240" w:lineRule="auto" w:before="0" w:after="0"/>
        <w:ind w:left="1079" w:right="0" w:hanging="359"/>
        <w:jc w:val="left"/>
        <w:rPr>
          <w:sz w:val="24"/>
        </w:rPr>
      </w:pPr>
      <w:r>
        <w:rPr>
          <w:sz w:val="24"/>
        </w:rPr>
        <w:t>misrepresentation of the</w:t>
      </w:r>
      <w:r>
        <w:rPr>
          <w:spacing w:val="2"/>
          <w:sz w:val="24"/>
        </w:rPr>
        <w:t> </w:t>
      </w:r>
      <w:r>
        <w:rPr>
          <w:sz w:val="24"/>
        </w:rPr>
        <w:t>results of</w:t>
      </w:r>
      <w:r>
        <w:rPr>
          <w:spacing w:val="1"/>
          <w:sz w:val="24"/>
        </w:rPr>
        <w:t> </w:t>
      </w:r>
      <w:r>
        <w:rPr>
          <w:sz w:val="24"/>
        </w:rPr>
        <w:t>scholarly</w:t>
      </w:r>
      <w:r>
        <w:rPr>
          <w:spacing w:val="-5"/>
          <w:sz w:val="24"/>
        </w:rPr>
        <w:t> </w:t>
      </w:r>
      <w:r>
        <w:rPr>
          <w:sz w:val="24"/>
        </w:rPr>
        <w:t>activity</w:t>
      </w:r>
      <w:r>
        <w:rPr>
          <w:spacing w:val="-5"/>
          <w:sz w:val="24"/>
        </w:rPr>
        <w:t> </w:t>
      </w:r>
      <w:r>
        <w:rPr>
          <w:sz w:val="24"/>
        </w:rPr>
        <w:t>or</w:t>
      </w:r>
      <w:r>
        <w:rPr>
          <w:spacing w:val="1"/>
          <w:sz w:val="24"/>
        </w:rPr>
        <w:t> </w:t>
      </w:r>
      <w:r>
        <w:rPr>
          <w:sz w:val="24"/>
        </w:rPr>
        <w:t>scholarly</w:t>
      </w:r>
      <w:r>
        <w:rPr>
          <w:spacing w:val="-5"/>
          <w:sz w:val="24"/>
        </w:rPr>
        <w:t> </w:t>
      </w:r>
      <w:r>
        <w:rPr>
          <w:sz w:val="24"/>
        </w:rPr>
        <w:t>credentials;</w:t>
      </w:r>
      <w:r>
        <w:rPr>
          <w:spacing w:val="2"/>
          <w:sz w:val="24"/>
        </w:rPr>
        <w:t> </w:t>
      </w:r>
      <w:r>
        <w:rPr>
          <w:spacing w:val="-5"/>
          <w:sz w:val="24"/>
        </w:rPr>
        <w:t>and</w:t>
      </w:r>
    </w:p>
    <w:p>
      <w:pPr>
        <w:pStyle w:val="ListParagraph"/>
        <w:numPr>
          <w:ilvl w:val="1"/>
          <w:numId w:val="1"/>
        </w:numPr>
        <w:tabs>
          <w:tab w:pos="1080" w:val="left" w:leader="none"/>
        </w:tabs>
        <w:spacing w:line="240" w:lineRule="auto" w:before="0" w:after="0"/>
        <w:ind w:left="1080" w:right="0" w:hanging="360"/>
        <w:jc w:val="left"/>
        <w:rPr>
          <w:sz w:val="24"/>
        </w:rPr>
      </w:pPr>
      <w:r>
        <w:rPr>
          <w:sz w:val="24"/>
        </w:rPr>
        <w:t>mis-attribution</w:t>
      </w:r>
      <w:r>
        <w:rPr>
          <w:spacing w:val="-2"/>
          <w:sz w:val="24"/>
        </w:rPr>
        <w:t> </w:t>
      </w:r>
      <w:r>
        <w:rPr>
          <w:sz w:val="24"/>
        </w:rPr>
        <w:t>of</w:t>
      </w:r>
      <w:r>
        <w:rPr>
          <w:spacing w:val="-2"/>
          <w:sz w:val="24"/>
        </w:rPr>
        <w:t> </w:t>
      </w:r>
      <w:r>
        <w:rPr>
          <w:sz w:val="24"/>
        </w:rPr>
        <w:t>credit</w:t>
      </w:r>
      <w:r>
        <w:rPr>
          <w:spacing w:val="-1"/>
          <w:sz w:val="24"/>
        </w:rPr>
        <w:t> </w:t>
      </w:r>
      <w:r>
        <w:rPr>
          <w:sz w:val="24"/>
        </w:rPr>
        <w:t>with</w:t>
      </w:r>
      <w:r>
        <w:rPr>
          <w:spacing w:val="-2"/>
          <w:sz w:val="24"/>
        </w:rPr>
        <w:t> </w:t>
      </w:r>
      <w:r>
        <w:rPr>
          <w:sz w:val="24"/>
        </w:rPr>
        <w:t>regard</w:t>
      </w:r>
      <w:r>
        <w:rPr>
          <w:spacing w:val="-1"/>
          <w:sz w:val="24"/>
        </w:rPr>
        <w:t> </w:t>
      </w:r>
      <w:r>
        <w:rPr>
          <w:sz w:val="24"/>
        </w:rPr>
        <w:t>to</w:t>
      </w:r>
      <w:r>
        <w:rPr>
          <w:spacing w:val="-1"/>
          <w:sz w:val="24"/>
        </w:rPr>
        <w:t> </w:t>
      </w:r>
      <w:r>
        <w:rPr>
          <w:spacing w:val="-2"/>
          <w:sz w:val="24"/>
        </w:rPr>
        <w:t>authorship.</w:t>
      </w:r>
    </w:p>
    <w:p>
      <w:pPr>
        <w:pStyle w:val="BodyText"/>
        <w:ind w:left="720" w:right="148" w:firstLine="0"/>
        <w:jc w:val="both"/>
      </w:pPr>
      <w:r>
        <w:rPr/>
        <w:t>Allegations</w:t>
      </w:r>
      <w:r>
        <w:rPr>
          <w:spacing w:val="-4"/>
        </w:rPr>
        <w:t> </w:t>
      </w:r>
      <w:r>
        <w:rPr/>
        <w:t>of</w:t>
      </w:r>
      <w:r>
        <w:rPr>
          <w:spacing w:val="-4"/>
        </w:rPr>
        <w:t> </w:t>
      </w:r>
      <w:r>
        <w:rPr/>
        <w:t>plagiarism</w:t>
      </w:r>
      <w:r>
        <w:rPr>
          <w:spacing w:val="-1"/>
        </w:rPr>
        <w:t> </w:t>
      </w:r>
      <w:r>
        <w:rPr/>
        <w:t>by</w:t>
      </w:r>
      <w:r>
        <w:rPr>
          <w:spacing w:val="-9"/>
        </w:rPr>
        <w:t> </w:t>
      </w:r>
      <w:r>
        <w:rPr/>
        <w:t>undergraduate</w:t>
      </w:r>
      <w:r>
        <w:rPr>
          <w:spacing w:val="-4"/>
        </w:rPr>
        <w:t> </w:t>
      </w:r>
      <w:r>
        <w:rPr/>
        <w:t>or</w:t>
      </w:r>
      <w:r>
        <w:rPr>
          <w:spacing w:val="-4"/>
        </w:rPr>
        <w:t> </w:t>
      </w:r>
      <w:r>
        <w:rPr/>
        <w:t>graduate</w:t>
      </w:r>
      <w:r>
        <w:rPr>
          <w:spacing w:val="-4"/>
        </w:rPr>
        <w:t> </w:t>
      </w:r>
      <w:r>
        <w:rPr/>
        <w:t>students</w:t>
      </w:r>
      <w:r>
        <w:rPr>
          <w:spacing w:val="-4"/>
        </w:rPr>
        <w:t> </w:t>
      </w:r>
      <w:r>
        <w:rPr/>
        <w:t>who</w:t>
      </w:r>
      <w:r>
        <w:rPr>
          <w:spacing w:val="-4"/>
        </w:rPr>
        <w:t> </w:t>
      </w:r>
      <w:r>
        <w:rPr/>
        <w:t>are</w:t>
      </w:r>
      <w:r>
        <w:rPr>
          <w:spacing w:val="-5"/>
        </w:rPr>
        <w:t> </w:t>
      </w:r>
      <w:r>
        <w:rPr/>
        <w:t>completing normal course assignments are</w:t>
      </w:r>
      <w:r>
        <w:rPr>
          <w:spacing w:val="-1"/>
        </w:rPr>
        <w:t> </w:t>
      </w:r>
      <w:r>
        <w:rPr/>
        <w:t>not intended to be covered by</w:t>
      </w:r>
      <w:r>
        <w:rPr>
          <w:spacing w:val="-5"/>
        </w:rPr>
        <w:t> </w:t>
      </w:r>
      <w:r>
        <w:rPr/>
        <w:t>this policy. Such cases are subject to pertinent university policies with respect to student conduct.</w:t>
      </w:r>
    </w:p>
    <w:p>
      <w:pPr>
        <w:pStyle w:val="BodyText"/>
        <w:spacing w:before="1"/>
        <w:ind w:left="0" w:firstLine="0"/>
      </w:pPr>
    </w:p>
    <w:p>
      <w:pPr>
        <w:pStyle w:val="ListParagraph"/>
        <w:numPr>
          <w:ilvl w:val="0"/>
          <w:numId w:val="1"/>
        </w:numPr>
        <w:tabs>
          <w:tab w:pos="360" w:val="left" w:leader="none"/>
        </w:tabs>
        <w:spacing w:line="240" w:lineRule="auto" w:before="0" w:after="0"/>
        <w:ind w:left="360" w:right="52" w:hanging="360"/>
        <w:jc w:val="left"/>
        <w:rPr>
          <w:b/>
          <w:i/>
          <w:sz w:val="24"/>
        </w:rPr>
      </w:pPr>
      <w:r>
        <w:rPr>
          <w:b/>
          <w:i/>
          <w:sz w:val="24"/>
        </w:rPr>
        <w:t>Policy</w:t>
      </w:r>
      <w:r>
        <w:rPr>
          <w:b/>
          <w:i/>
          <w:spacing w:val="-5"/>
          <w:sz w:val="24"/>
        </w:rPr>
        <w:t> </w:t>
      </w:r>
      <w:r>
        <w:rPr>
          <w:b/>
          <w:i/>
          <w:sz w:val="24"/>
        </w:rPr>
        <w:t>Statement</w:t>
      </w:r>
      <w:r>
        <w:rPr>
          <w:sz w:val="24"/>
        </w:rPr>
        <w:t>.</w:t>
      </w:r>
      <w:r>
        <w:rPr>
          <w:spacing w:val="40"/>
          <w:sz w:val="24"/>
        </w:rPr>
        <w:t> </w:t>
      </w:r>
      <w:r>
        <w:rPr>
          <w:sz w:val="24"/>
        </w:rPr>
        <w:t>The</w:t>
      </w:r>
      <w:r>
        <w:rPr>
          <w:spacing w:val="-5"/>
          <w:sz w:val="24"/>
        </w:rPr>
        <w:t> </w:t>
      </w:r>
      <w:r>
        <w:rPr>
          <w:sz w:val="24"/>
        </w:rPr>
        <w:t>AAAS</w:t>
      </w:r>
      <w:r>
        <w:rPr>
          <w:spacing w:val="-3"/>
          <w:sz w:val="24"/>
        </w:rPr>
        <w:t> </w:t>
      </w:r>
      <w:r>
        <w:rPr>
          <w:sz w:val="24"/>
        </w:rPr>
        <w:t>Department</w:t>
      </w:r>
      <w:r>
        <w:rPr>
          <w:spacing w:val="-3"/>
          <w:sz w:val="24"/>
        </w:rPr>
        <w:t> </w:t>
      </w:r>
      <w:r>
        <w:rPr>
          <w:sz w:val="24"/>
        </w:rPr>
        <w:t>does</w:t>
      </w:r>
      <w:r>
        <w:rPr>
          <w:spacing w:val="-3"/>
          <w:sz w:val="24"/>
        </w:rPr>
        <w:t> </w:t>
      </w:r>
      <w:r>
        <w:rPr>
          <w:sz w:val="24"/>
        </w:rPr>
        <w:t>not</w:t>
      </w:r>
      <w:r>
        <w:rPr>
          <w:spacing w:val="-3"/>
          <w:sz w:val="24"/>
        </w:rPr>
        <w:t> </w:t>
      </w:r>
      <w:r>
        <w:rPr>
          <w:sz w:val="24"/>
        </w:rPr>
        <w:t>condone</w:t>
      </w:r>
      <w:r>
        <w:rPr>
          <w:spacing w:val="-4"/>
          <w:sz w:val="24"/>
        </w:rPr>
        <w:t> </w:t>
      </w:r>
      <w:r>
        <w:rPr>
          <w:sz w:val="24"/>
        </w:rPr>
        <w:t>and</w:t>
      </w:r>
      <w:r>
        <w:rPr>
          <w:spacing w:val="-3"/>
          <w:sz w:val="24"/>
        </w:rPr>
        <w:t> </w:t>
      </w:r>
      <w:r>
        <w:rPr>
          <w:sz w:val="24"/>
        </w:rPr>
        <w:t>will</w:t>
      </w:r>
      <w:r>
        <w:rPr>
          <w:spacing w:val="-3"/>
          <w:sz w:val="24"/>
        </w:rPr>
        <w:t> </w:t>
      </w:r>
      <w:r>
        <w:rPr>
          <w:sz w:val="24"/>
        </w:rPr>
        <w:t>not</w:t>
      </w:r>
      <w:r>
        <w:rPr>
          <w:spacing w:val="-3"/>
          <w:sz w:val="24"/>
        </w:rPr>
        <w:t> </w:t>
      </w:r>
      <w:r>
        <w:rPr>
          <w:sz w:val="24"/>
        </w:rPr>
        <w:t>tolerate</w:t>
      </w:r>
      <w:r>
        <w:rPr>
          <w:spacing w:val="-3"/>
          <w:sz w:val="24"/>
        </w:rPr>
        <w:t> </w:t>
      </w:r>
      <w:r>
        <w:rPr>
          <w:sz w:val="24"/>
        </w:rPr>
        <w:t>any</w:t>
      </w:r>
      <w:r>
        <w:rPr>
          <w:spacing w:val="-6"/>
          <w:sz w:val="24"/>
        </w:rPr>
        <w:t> </w:t>
      </w:r>
      <w:r>
        <w:rPr>
          <w:sz w:val="24"/>
        </w:rPr>
        <w:t>act of misconduct in scholarly activity by any member of its community. The Department strives to ensure that all members of its community understand and uphold this policy. Allegations of misconduct should be handled in accordance with relevant University </w:t>
      </w:r>
      <w:r>
        <w:rPr>
          <w:spacing w:val="-2"/>
          <w:sz w:val="24"/>
        </w:rPr>
        <w:t>policies.</w:t>
      </w:r>
    </w:p>
    <w:p>
      <w:pPr>
        <w:pStyle w:val="BodyText"/>
        <w:spacing w:before="5"/>
        <w:ind w:left="0" w:firstLine="0"/>
      </w:pPr>
    </w:p>
    <w:p>
      <w:pPr>
        <w:pStyle w:val="Heading2"/>
        <w:numPr>
          <w:ilvl w:val="0"/>
          <w:numId w:val="1"/>
        </w:numPr>
        <w:tabs>
          <w:tab w:pos="359" w:val="left" w:leader="none"/>
        </w:tabs>
        <w:spacing w:line="274" w:lineRule="exact" w:before="0" w:after="0"/>
        <w:ind w:left="359" w:right="0" w:hanging="359"/>
        <w:jc w:val="left"/>
      </w:pPr>
      <w:r>
        <w:rPr>
          <w:i/>
          <w:spacing w:val="-2"/>
        </w:rPr>
        <w:t>Training.</w:t>
      </w:r>
    </w:p>
    <w:p>
      <w:pPr>
        <w:pStyle w:val="ListParagraph"/>
        <w:numPr>
          <w:ilvl w:val="1"/>
          <w:numId w:val="1"/>
        </w:numPr>
        <w:tabs>
          <w:tab w:pos="1080" w:val="left" w:leader="none"/>
        </w:tabs>
        <w:spacing w:line="240" w:lineRule="auto" w:before="0" w:after="0"/>
        <w:ind w:left="1080" w:right="173" w:hanging="360"/>
        <w:jc w:val="left"/>
        <w:rPr>
          <w:sz w:val="24"/>
        </w:rPr>
      </w:pPr>
      <w:r>
        <w:rPr>
          <w:sz w:val="24"/>
        </w:rPr>
        <w:t>For faculty, a special faculty meeting will be dedicated to RCR (responsible conduct of research) annually. At that meeting, faculty will share and discuss RCR</w:t>
      </w:r>
      <w:r>
        <w:rPr>
          <w:spacing w:val="-4"/>
          <w:sz w:val="24"/>
        </w:rPr>
        <w:t> </w:t>
      </w:r>
      <w:r>
        <w:rPr>
          <w:sz w:val="24"/>
        </w:rPr>
        <w:t>issues</w:t>
      </w:r>
      <w:r>
        <w:rPr>
          <w:spacing w:val="-4"/>
          <w:sz w:val="24"/>
        </w:rPr>
        <w:t> </w:t>
      </w:r>
      <w:r>
        <w:rPr>
          <w:sz w:val="24"/>
        </w:rPr>
        <w:t>(see</w:t>
      </w:r>
      <w:r>
        <w:rPr>
          <w:spacing w:val="-5"/>
          <w:sz w:val="24"/>
        </w:rPr>
        <w:t> </w:t>
      </w:r>
      <w:r>
        <w:rPr>
          <w:sz w:val="24"/>
        </w:rPr>
        <w:t>#3)</w:t>
      </w:r>
      <w:r>
        <w:rPr>
          <w:spacing w:val="-4"/>
          <w:sz w:val="24"/>
        </w:rPr>
        <w:t> </w:t>
      </w:r>
      <w:r>
        <w:rPr>
          <w:sz w:val="24"/>
        </w:rPr>
        <w:t>associated</w:t>
      </w:r>
      <w:r>
        <w:rPr>
          <w:spacing w:val="-4"/>
          <w:sz w:val="24"/>
        </w:rPr>
        <w:t> </w:t>
      </w:r>
      <w:r>
        <w:rPr>
          <w:sz w:val="24"/>
        </w:rPr>
        <w:t>with</w:t>
      </w:r>
      <w:r>
        <w:rPr>
          <w:spacing w:val="-4"/>
          <w:sz w:val="24"/>
        </w:rPr>
        <w:t> </w:t>
      </w:r>
      <w:r>
        <w:rPr>
          <w:sz w:val="24"/>
        </w:rPr>
        <w:t>their</w:t>
      </w:r>
      <w:r>
        <w:rPr>
          <w:spacing w:val="-4"/>
          <w:sz w:val="24"/>
        </w:rPr>
        <w:t> </w:t>
      </w:r>
      <w:r>
        <w:rPr>
          <w:sz w:val="24"/>
        </w:rPr>
        <w:t>own</w:t>
      </w:r>
      <w:r>
        <w:rPr>
          <w:spacing w:val="-4"/>
          <w:sz w:val="24"/>
        </w:rPr>
        <w:t> </w:t>
      </w:r>
      <w:r>
        <w:rPr>
          <w:sz w:val="24"/>
        </w:rPr>
        <w:t>research</w:t>
      </w:r>
      <w:r>
        <w:rPr>
          <w:spacing w:val="-2"/>
          <w:sz w:val="24"/>
        </w:rPr>
        <w:t> </w:t>
      </w:r>
      <w:r>
        <w:rPr>
          <w:sz w:val="24"/>
        </w:rPr>
        <w:t>and</w:t>
      </w:r>
      <w:r>
        <w:rPr>
          <w:spacing w:val="-4"/>
          <w:sz w:val="24"/>
        </w:rPr>
        <w:t> </w:t>
      </w:r>
      <w:r>
        <w:rPr>
          <w:sz w:val="24"/>
        </w:rPr>
        <w:t>with</w:t>
      </w:r>
      <w:r>
        <w:rPr>
          <w:spacing w:val="-4"/>
          <w:sz w:val="24"/>
        </w:rPr>
        <w:t> </w:t>
      </w:r>
      <w:r>
        <w:rPr>
          <w:sz w:val="24"/>
        </w:rPr>
        <w:t>their</w:t>
      </w:r>
      <w:r>
        <w:rPr>
          <w:spacing w:val="-4"/>
          <w:sz w:val="24"/>
        </w:rPr>
        <w:t> </w:t>
      </w:r>
      <w:r>
        <w:rPr>
          <w:sz w:val="24"/>
        </w:rPr>
        <w:t>mentoring and supervisory practices.</w:t>
      </w:r>
    </w:p>
    <w:p>
      <w:pPr>
        <w:pStyle w:val="ListParagraph"/>
        <w:numPr>
          <w:ilvl w:val="1"/>
          <w:numId w:val="1"/>
        </w:numPr>
        <w:tabs>
          <w:tab w:pos="1080" w:val="left" w:leader="none"/>
        </w:tabs>
        <w:spacing w:line="240" w:lineRule="auto" w:before="0" w:after="0"/>
        <w:ind w:left="1080" w:right="208" w:hanging="360"/>
        <w:jc w:val="left"/>
        <w:rPr>
          <w:sz w:val="24"/>
        </w:rPr>
      </w:pPr>
      <w:r>
        <w:rPr>
          <w:sz w:val="24"/>
        </w:rPr>
        <w:t>For</w:t>
      </w:r>
      <w:r>
        <w:rPr>
          <w:spacing w:val="-4"/>
          <w:sz w:val="24"/>
        </w:rPr>
        <w:t> </w:t>
      </w:r>
      <w:r>
        <w:rPr>
          <w:sz w:val="24"/>
        </w:rPr>
        <w:t>graduate</w:t>
      </w:r>
      <w:r>
        <w:rPr>
          <w:spacing w:val="-5"/>
          <w:sz w:val="24"/>
        </w:rPr>
        <w:t> </w:t>
      </w:r>
      <w:r>
        <w:rPr>
          <w:sz w:val="24"/>
        </w:rPr>
        <w:t>students</w:t>
      </w:r>
      <w:r>
        <w:rPr>
          <w:spacing w:val="-4"/>
          <w:sz w:val="24"/>
        </w:rPr>
        <w:t> </w:t>
      </w:r>
      <w:r>
        <w:rPr>
          <w:sz w:val="24"/>
        </w:rPr>
        <w:t>and</w:t>
      </w:r>
      <w:r>
        <w:rPr>
          <w:spacing w:val="-5"/>
          <w:sz w:val="24"/>
        </w:rPr>
        <w:t> </w:t>
      </w:r>
      <w:r>
        <w:rPr>
          <w:sz w:val="24"/>
        </w:rPr>
        <w:t>undergraduate</w:t>
      </w:r>
      <w:r>
        <w:rPr>
          <w:spacing w:val="-5"/>
          <w:sz w:val="24"/>
        </w:rPr>
        <w:t> </w:t>
      </w:r>
      <w:r>
        <w:rPr>
          <w:sz w:val="24"/>
        </w:rPr>
        <w:t>students</w:t>
      </w:r>
      <w:r>
        <w:rPr>
          <w:spacing w:val="-3"/>
          <w:sz w:val="24"/>
        </w:rPr>
        <w:t> </w:t>
      </w:r>
      <w:r>
        <w:rPr>
          <w:sz w:val="24"/>
        </w:rPr>
        <w:t>involved</w:t>
      </w:r>
      <w:r>
        <w:rPr>
          <w:spacing w:val="-5"/>
          <w:sz w:val="24"/>
        </w:rPr>
        <w:t> </w:t>
      </w:r>
      <w:r>
        <w:rPr>
          <w:sz w:val="24"/>
        </w:rPr>
        <w:t>in</w:t>
      </w:r>
      <w:r>
        <w:rPr>
          <w:spacing w:val="-5"/>
          <w:sz w:val="24"/>
        </w:rPr>
        <w:t> </w:t>
      </w:r>
      <w:r>
        <w:rPr>
          <w:sz w:val="24"/>
        </w:rPr>
        <w:t>faculty</w:t>
      </w:r>
      <w:r>
        <w:rPr>
          <w:spacing w:val="-9"/>
          <w:sz w:val="24"/>
        </w:rPr>
        <w:t> </w:t>
      </w:r>
      <w:r>
        <w:rPr>
          <w:sz w:val="24"/>
        </w:rPr>
        <w:t>supervised research, a special component on RCR will be included in the syllabus of AAS 501/401</w:t>
      </w:r>
      <w:r>
        <w:rPr>
          <w:spacing w:val="-4"/>
          <w:sz w:val="24"/>
        </w:rPr>
        <w:t> </w:t>
      </w:r>
      <w:r>
        <w:rPr>
          <w:sz w:val="24"/>
        </w:rPr>
        <w:t>(AAS</w:t>
      </w:r>
      <w:r>
        <w:rPr>
          <w:spacing w:val="-4"/>
          <w:sz w:val="24"/>
        </w:rPr>
        <w:t> </w:t>
      </w:r>
      <w:r>
        <w:rPr>
          <w:sz w:val="24"/>
        </w:rPr>
        <w:t>Proseminar),</w:t>
      </w:r>
      <w:r>
        <w:rPr>
          <w:spacing w:val="-4"/>
          <w:sz w:val="24"/>
        </w:rPr>
        <w:t> </w:t>
      </w:r>
      <w:r>
        <w:rPr>
          <w:sz w:val="24"/>
        </w:rPr>
        <w:t>which</w:t>
      </w:r>
      <w:r>
        <w:rPr>
          <w:spacing w:val="-4"/>
          <w:sz w:val="24"/>
        </w:rPr>
        <w:t> </w:t>
      </w:r>
      <w:r>
        <w:rPr>
          <w:sz w:val="24"/>
        </w:rPr>
        <w:t>is</w:t>
      </w:r>
      <w:r>
        <w:rPr>
          <w:spacing w:val="-4"/>
          <w:sz w:val="24"/>
        </w:rPr>
        <w:t> </w:t>
      </w:r>
      <w:r>
        <w:rPr>
          <w:sz w:val="24"/>
        </w:rPr>
        <w:t>required</w:t>
      </w:r>
      <w:r>
        <w:rPr>
          <w:spacing w:val="-4"/>
          <w:sz w:val="24"/>
        </w:rPr>
        <w:t> </w:t>
      </w:r>
      <w:r>
        <w:rPr>
          <w:sz w:val="24"/>
        </w:rPr>
        <w:t>of</w:t>
      </w:r>
      <w:r>
        <w:rPr>
          <w:spacing w:val="-3"/>
          <w:sz w:val="24"/>
        </w:rPr>
        <w:t> </w:t>
      </w:r>
      <w:r>
        <w:rPr>
          <w:sz w:val="24"/>
        </w:rPr>
        <w:t>all</w:t>
      </w:r>
      <w:r>
        <w:rPr>
          <w:spacing w:val="-4"/>
          <w:sz w:val="24"/>
        </w:rPr>
        <w:t> </w:t>
      </w:r>
      <w:r>
        <w:rPr>
          <w:sz w:val="24"/>
        </w:rPr>
        <w:t>MA-CAAS</w:t>
      </w:r>
      <w:r>
        <w:rPr>
          <w:spacing w:val="-4"/>
          <w:sz w:val="24"/>
        </w:rPr>
        <w:t> </w:t>
      </w:r>
      <w:r>
        <w:rPr>
          <w:sz w:val="24"/>
        </w:rPr>
        <w:t>students</w:t>
      </w:r>
      <w:r>
        <w:rPr>
          <w:spacing w:val="-4"/>
          <w:sz w:val="24"/>
        </w:rPr>
        <w:t> </w:t>
      </w:r>
      <w:r>
        <w:rPr>
          <w:sz w:val="24"/>
        </w:rPr>
        <w:t>and</w:t>
      </w:r>
      <w:r>
        <w:rPr>
          <w:spacing w:val="-4"/>
          <w:sz w:val="24"/>
        </w:rPr>
        <w:t> </w:t>
      </w:r>
      <w:r>
        <w:rPr>
          <w:sz w:val="24"/>
        </w:rPr>
        <w:t>all AAS UG majors.</w:t>
      </w:r>
    </w:p>
    <w:p>
      <w:pPr>
        <w:pStyle w:val="ListParagraph"/>
        <w:numPr>
          <w:ilvl w:val="1"/>
          <w:numId w:val="1"/>
        </w:numPr>
        <w:tabs>
          <w:tab w:pos="1080" w:val="left" w:leader="none"/>
        </w:tabs>
        <w:spacing w:line="240" w:lineRule="auto" w:before="0" w:after="0"/>
        <w:ind w:left="1080" w:right="9" w:hanging="360"/>
        <w:jc w:val="left"/>
        <w:rPr>
          <w:sz w:val="24"/>
        </w:rPr>
      </w:pPr>
      <w:r>
        <w:rPr>
          <w:sz w:val="24"/>
        </w:rPr>
        <w:t>The Department will offer an annual workshop on CORIHS research compliance, conducted by a faculty member experienced with CORIHS procedures. Graduate students and undergraduate students involved in faculty supervised research will be</w:t>
      </w:r>
      <w:r>
        <w:rPr>
          <w:spacing w:val="-5"/>
          <w:sz w:val="24"/>
        </w:rPr>
        <w:t> </w:t>
      </w:r>
      <w:r>
        <w:rPr>
          <w:sz w:val="24"/>
        </w:rPr>
        <w:t>required</w:t>
      </w:r>
      <w:r>
        <w:rPr>
          <w:spacing w:val="-4"/>
          <w:sz w:val="24"/>
        </w:rPr>
        <w:t> </w:t>
      </w:r>
      <w:r>
        <w:rPr>
          <w:sz w:val="24"/>
        </w:rPr>
        <w:t>to</w:t>
      </w:r>
      <w:r>
        <w:rPr>
          <w:spacing w:val="-4"/>
          <w:sz w:val="24"/>
        </w:rPr>
        <w:t> </w:t>
      </w:r>
      <w:r>
        <w:rPr>
          <w:sz w:val="24"/>
        </w:rPr>
        <w:t>attend</w:t>
      </w:r>
      <w:r>
        <w:rPr>
          <w:spacing w:val="-4"/>
          <w:sz w:val="24"/>
        </w:rPr>
        <w:t> </w:t>
      </w:r>
      <w:r>
        <w:rPr>
          <w:sz w:val="24"/>
        </w:rPr>
        <w:t>the</w:t>
      </w:r>
      <w:r>
        <w:rPr>
          <w:spacing w:val="-3"/>
          <w:sz w:val="24"/>
        </w:rPr>
        <w:t> </w:t>
      </w:r>
      <w:r>
        <w:rPr>
          <w:sz w:val="24"/>
        </w:rPr>
        <w:t>workshop;</w:t>
      </w:r>
      <w:r>
        <w:rPr>
          <w:spacing w:val="-4"/>
          <w:sz w:val="24"/>
        </w:rPr>
        <w:t> </w:t>
      </w:r>
      <w:r>
        <w:rPr>
          <w:sz w:val="24"/>
        </w:rPr>
        <w:t>faculty</w:t>
      </w:r>
      <w:r>
        <w:rPr>
          <w:spacing w:val="-8"/>
          <w:sz w:val="24"/>
        </w:rPr>
        <w:t> </w:t>
      </w:r>
      <w:r>
        <w:rPr>
          <w:sz w:val="24"/>
        </w:rPr>
        <w:t>members</w:t>
      </w:r>
      <w:r>
        <w:rPr>
          <w:spacing w:val="-4"/>
          <w:sz w:val="24"/>
        </w:rPr>
        <w:t> </w:t>
      </w:r>
      <w:r>
        <w:rPr>
          <w:sz w:val="24"/>
        </w:rPr>
        <w:t>will</w:t>
      </w:r>
      <w:r>
        <w:rPr>
          <w:spacing w:val="-4"/>
          <w:sz w:val="24"/>
        </w:rPr>
        <w:t> </w:t>
      </w:r>
      <w:r>
        <w:rPr>
          <w:sz w:val="24"/>
        </w:rPr>
        <w:t>be</w:t>
      </w:r>
      <w:r>
        <w:rPr>
          <w:spacing w:val="-4"/>
          <w:sz w:val="24"/>
        </w:rPr>
        <w:t> </w:t>
      </w:r>
      <w:r>
        <w:rPr>
          <w:sz w:val="24"/>
        </w:rPr>
        <w:t>encouraged</w:t>
      </w:r>
      <w:r>
        <w:rPr>
          <w:spacing w:val="-4"/>
          <w:sz w:val="24"/>
        </w:rPr>
        <w:t> </w:t>
      </w:r>
      <w:r>
        <w:rPr>
          <w:sz w:val="24"/>
        </w:rPr>
        <w:t>to</w:t>
      </w:r>
      <w:r>
        <w:rPr>
          <w:spacing w:val="-2"/>
          <w:sz w:val="24"/>
        </w:rPr>
        <w:t> </w:t>
      </w:r>
      <w:r>
        <w:rPr>
          <w:sz w:val="24"/>
        </w:rPr>
        <w:t>attend.</w:t>
      </w:r>
    </w:p>
    <w:p>
      <w:pPr>
        <w:pStyle w:val="ListParagraph"/>
        <w:spacing w:after="0" w:line="240" w:lineRule="auto"/>
        <w:jc w:val="left"/>
        <w:rPr>
          <w:sz w:val="24"/>
        </w:rPr>
        <w:sectPr>
          <w:type w:val="continuous"/>
          <w:pgSz w:w="12240" w:h="15840"/>
          <w:pgMar w:top="1360" w:bottom="280" w:left="1800" w:right="1440"/>
        </w:sectPr>
      </w:pPr>
    </w:p>
    <w:p>
      <w:pPr>
        <w:pStyle w:val="ListParagraph"/>
        <w:numPr>
          <w:ilvl w:val="1"/>
          <w:numId w:val="1"/>
        </w:numPr>
        <w:tabs>
          <w:tab w:pos="1080" w:val="left" w:leader="none"/>
        </w:tabs>
        <w:spacing w:line="240" w:lineRule="auto" w:before="72" w:after="0"/>
        <w:ind w:left="1080" w:right="141" w:hanging="360"/>
        <w:jc w:val="left"/>
        <w:rPr>
          <w:sz w:val="24"/>
        </w:rPr>
      </w:pPr>
      <w:r>
        <w:rPr>
          <w:sz w:val="24"/>
        </w:rPr>
        <w:t>Both</w:t>
      </w:r>
      <w:r>
        <w:rPr>
          <w:spacing w:val="-4"/>
          <w:sz w:val="24"/>
        </w:rPr>
        <w:t> </w:t>
      </w:r>
      <w:r>
        <w:rPr>
          <w:sz w:val="24"/>
        </w:rPr>
        <w:t>faculty</w:t>
      </w:r>
      <w:r>
        <w:rPr>
          <w:spacing w:val="-6"/>
          <w:sz w:val="24"/>
        </w:rPr>
        <w:t> </w:t>
      </w:r>
      <w:r>
        <w:rPr>
          <w:sz w:val="24"/>
        </w:rPr>
        <w:t>and</w:t>
      </w:r>
      <w:r>
        <w:rPr>
          <w:spacing w:val="-3"/>
          <w:sz w:val="24"/>
        </w:rPr>
        <w:t> </w:t>
      </w:r>
      <w:r>
        <w:rPr>
          <w:sz w:val="24"/>
        </w:rPr>
        <w:t>students</w:t>
      </w:r>
      <w:r>
        <w:rPr>
          <w:spacing w:val="-4"/>
          <w:sz w:val="24"/>
        </w:rPr>
        <w:t> </w:t>
      </w:r>
      <w:r>
        <w:rPr>
          <w:sz w:val="24"/>
        </w:rPr>
        <w:t>involved</w:t>
      </w:r>
      <w:r>
        <w:rPr>
          <w:spacing w:val="-4"/>
          <w:sz w:val="24"/>
        </w:rPr>
        <w:t> </w:t>
      </w:r>
      <w:r>
        <w:rPr>
          <w:sz w:val="24"/>
        </w:rPr>
        <w:t>in</w:t>
      </w:r>
      <w:r>
        <w:rPr>
          <w:spacing w:val="-4"/>
          <w:sz w:val="24"/>
        </w:rPr>
        <w:t> </w:t>
      </w:r>
      <w:r>
        <w:rPr>
          <w:sz w:val="24"/>
        </w:rPr>
        <w:t>research</w:t>
      </w:r>
      <w:r>
        <w:rPr>
          <w:spacing w:val="-3"/>
          <w:sz w:val="24"/>
        </w:rPr>
        <w:t> </w:t>
      </w:r>
      <w:r>
        <w:rPr>
          <w:sz w:val="24"/>
        </w:rPr>
        <w:t>will</w:t>
      </w:r>
      <w:r>
        <w:rPr>
          <w:spacing w:val="-4"/>
          <w:sz w:val="24"/>
        </w:rPr>
        <w:t> </w:t>
      </w:r>
      <w:r>
        <w:rPr>
          <w:sz w:val="24"/>
        </w:rPr>
        <w:t>complete</w:t>
      </w:r>
      <w:r>
        <w:rPr>
          <w:spacing w:val="-4"/>
          <w:sz w:val="24"/>
        </w:rPr>
        <w:t> </w:t>
      </w:r>
      <w:r>
        <w:rPr>
          <w:sz w:val="24"/>
        </w:rPr>
        <w:t>CITI</w:t>
      </w:r>
      <w:r>
        <w:rPr>
          <w:spacing w:val="-7"/>
          <w:sz w:val="24"/>
        </w:rPr>
        <w:t> </w:t>
      </w:r>
      <w:r>
        <w:rPr>
          <w:sz w:val="24"/>
        </w:rPr>
        <w:t>Training</w:t>
      </w:r>
      <w:r>
        <w:rPr>
          <w:spacing w:val="-5"/>
          <w:sz w:val="24"/>
        </w:rPr>
        <w:t> </w:t>
      </w:r>
      <w:r>
        <w:rPr>
          <w:sz w:val="24"/>
        </w:rPr>
        <w:t>RCR module in Humanities or Social Sciences.</w:t>
      </w:r>
    </w:p>
    <w:p>
      <w:pPr>
        <w:pStyle w:val="BodyText"/>
        <w:ind w:left="0" w:firstLine="0"/>
      </w:pPr>
    </w:p>
    <w:p>
      <w:pPr>
        <w:pStyle w:val="ListParagraph"/>
        <w:numPr>
          <w:ilvl w:val="0"/>
          <w:numId w:val="1"/>
        </w:numPr>
        <w:tabs>
          <w:tab w:pos="360" w:val="left" w:leader="none"/>
        </w:tabs>
        <w:spacing w:line="240" w:lineRule="auto" w:before="0" w:after="0"/>
        <w:ind w:left="360" w:right="1" w:hanging="360"/>
        <w:jc w:val="left"/>
        <w:rPr>
          <w:b/>
          <w:i/>
          <w:sz w:val="24"/>
        </w:rPr>
      </w:pPr>
      <w:r>
        <w:rPr>
          <w:b/>
          <w:i/>
          <w:sz w:val="24"/>
        </w:rPr>
        <w:t>Records and Responsibilities.</w:t>
      </w:r>
      <w:r>
        <w:rPr>
          <w:b/>
          <w:i/>
          <w:spacing w:val="80"/>
          <w:w w:val="150"/>
          <w:sz w:val="24"/>
        </w:rPr>
        <w:t> </w:t>
      </w:r>
      <w:r>
        <w:rPr>
          <w:sz w:val="24"/>
        </w:rPr>
        <w:t>The Department Chair will be responsible for scheduling a special faculty meeting annually for RCR training purposes, for taking attendance, and for keeping minutes of the meeting.</w:t>
      </w:r>
      <w:r>
        <w:rPr>
          <w:spacing w:val="40"/>
          <w:sz w:val="24"/>
        </w:rPr>
        <w:t> </w:t>
      </w:r>
      <w:r>
        <w:rPr>
          <w:sz w:val="24"/>
        </w:rPr>
        <w:t>The instructor of AAS 501/401 will be responsible for ensuring that graduate students receive the required RCR training; students’ passing grade in that course will be proof that they have met the requirement.</w:t>
      </w:r>
      <w:r>
        <w:rPr>
          <w:spacing w:val="40"/>
          <w:sz w:val="24"/>
        </w:rPr>
        <w:t> </w:t>
      </w:r>
      <w:r>
        <w:rPr>
          <w:sz w:val="24"/>
        </w:rPr>
        <w:t>The Director of Graduate Program will be responsible for scheduling the annual department CORIHS workshop</w:t>
      </w:r>
      <w:r>
        <w:rPr>
          <w:spacing w:val="-3"/>
          <w:sz w:val="24"/>
        </w:rPr>
        <w:t> </w:t>
      </w:r>
      <w:r>
        <w:rPr>
          <w:sz w:val="24"/>
        </w:rPr>
        <w:t>and</w:t>
      </w:r>
      <w:r>
        <w:rPr>
          <w:spacing w:val="-3"/>
          <w:sz w:val="24"/>
        </w:rPr>
        <w:t> </w:t>
      </w:r>
      <w:r>
        <w:rPr>
          <w:sz w:val="24"/>
        </w:rPr>
        <w:t>the</w:t>
      </w:r>
      <w:r>
        <w:rPr>
          <w:spacing w:val="-3"/>
          <w:sz w:val="24"/>
        </w:rPr>
        <w:t> </w:t>
      </w:r>
      <w:r>
        <w:rPr>
          <w:sz w:val="24"/>
        </w:rPr>
        <w:t>faculty</w:t>
      </w:r>
      <w:r>
        <w:rPr>
          <w:spacing w:val="-6"/>
          <w:sz w:val="24"/>
        </w:rPr>
        <w:t> </w:t>
      </w:r>
      <w:r>
        <w:rPr>
          <w:sz w:val="24"/>
        </w:rPr>
        <w:t>member</w:t>
      </w:r>
      <w:r>
        <w:rPr>
          <w:spacing w:val="-3"/>
          <w:sz w:val="24"/>
        </w:rPr>
        <w:t> </w:t>
      </w:r>
      <w:r>
        <w:rPr>
          <w:sz w:val="24"/>
        </w:rPr>
        <w:t>conducting</w:t>
      </w:r>
      <w:r>
        <w:rPr>
          <w:spacing w:val="-6"/>
          <w:sz w:val="24"/>
        </w:rPr>
        <w:t> </w:t>
      </w:r>
      <w:r>
        <w:rPr>
          <w:sz w:val="24"/>
        </w:rPr>
        <w:t>the</w:t>
      </w:r>
      <w:r>
        <w:rPr>
          <w:spacing w:val="-2"/>
          <w:sz w:val="24"/>
        </w:rPr>
        <w:t> </w:t>
      </w:r>
      <w:r>
        <w:rPr>
          <w:sz w:val="24"/>
        </w:rPr>
        <w:t>workshop</w:t>
      </w:r>
      <w:r>
        <w:rPr>
          <w:spacing w:val="-3"/>
          <w:sz w:val="24"/>
        </w:rPr>
        <w:t> </w:t>
      </w:r>
      <w:r>
        <w:rPr>
          <w:sz w:val="24"/>
        </w:rPr>
        <w:t>will</w:t>
      </w:r>
      <w:r>
        <w:rPr>
          <w:spacing w:val="-3"/>
          <w:sz w:val="24"/>
        </w:rPr>
        <w:t> </w:t>
      </w:r>
      <w:r>
        <w:rPr>
          <w:sz w:val="24"/>
        </w:rPr>
        <w:t>be</w:t>
      </w:r>
      <w:r>
        <w:rPr>
          <w:spacing w:val="-3"/>
          <w:sz w:val="24"/>
        </w:rPr>
        <w:t> </w:t>
      </w:r>
      <w:r>
        <w:rPr>
          <w:sz w:val="24"/>
        </w:rPr>
        <w:t>responsible</w:t>
      </w:r>
      <w:r>
        <w:rPr>
          <w:spacing w:val="-4"/>
          <w:sz w:val="24"/>
        </w:rPr>
        <w:t> </w:t>
      </w:r>
      <w:r>
        <w:rPr>
          <w:sz w:val="24"/>
        </w:rPr>
        <w:t>for</w:t>
      </w:r>
      <w:r>
        <w:rPr>
          <w:spacing w:val="-4"/>
          <w:sz w:val="24"/>
        </w:rPr>
        <w:t> </w:t>
      </w:r>
      <w:r>
        <w:rPr>
          <w:sz w:val="24"/>
        </w:rPr>
        <w:t>taking </w:t>
      </w:r>
      <w:r>
        <w:rPr>
          <w:spacing w:val="-2"/>
          <w:sz w:val="24"/>
        </w:rPr>
        <w:t>attendance.</w:t>
      </w:r>
    </w:p>
    <w:sectPr>
      <w:pgSz w:w="12240" w:h="15840"/>
      <w:pgMar w:top="1360" w:bottom="280" w:left="180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60" w:hanging="360"/>
        <w:jc w:val="left"/>
      </w:pPr>
      <w:rPr>
        <w:rFonts w:hint="default"/>
        <w:spacing w:val="0"/>
        <w:w w:val="100"/>
        <w:lang w:val="en-US" w:eastAsia="en-US" w:bidi="ar-SA"/>
      </w:rPr>
    </w:lvl>
    <w:lvl w:ilvl="1">
      <w:start w:val="1"/>
      <w:numFmt w:val="lowerLetter"/>
      <w:lvlText w:val="%2."/>
      <w:lvlJc w:val="left"/>
      <w:pPr>
        <w:ind w:left="10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1960" w:hanging="360"/>
      </w:pPr>
      <w:rPr>
        <w:rFonts w:hint="default"/>
        <w:lang w:val="en-US" w:eastAsia="en-US" w:bidi="ar-SA"/>
      </w:rPr>
    </w:lvl>
    <w:lvl w:ilvl="3">
      <w:start w:val="0"/>
      <w:numFmt w:val="bullet"/>
      <w:lvlText w:val="•"/>
      <w:lvlJc w:val="left"/>
      <w:pPr>
        <w:ind w:left="2840" w:hanging="360"/>
      </w:pPr>
      <w:rPr>
        <w:rFonts w:hint="default"/>
        <w:lang w:val="en-US" w:eastAsia="en-US" w:bidi="ar-SA"/>
      </w:rPr>
    </w:lvl>
    <w:lvl w:ilvl="4">
      <w:start w:val="0"/>
      <w:numFmt w:val="bullet"/>
      <w:lvlText w:val="•"/>
      <w:lvlJc w:val="left"/>
      <w:pPr>
        <w:ind w:left="3720" w:hanging="360"/>
      </w:pPr>
      <w:rPr>
        <w:rFonts w:hint="default"/>
        <w:lang w:val="en-US" w:eastAsia="en-US" w:bidi="ar-SA"/>
      </w:rPr>
    </w:lvl>
    <w:lvl w:ilvl="5">
      <w:start w:val="0"/>
      <w:numFmt w:val="bullet"/>
      <w:lvlText w:val="•"/>
      <w:lvlJc w:val="left"/>
      <w:pPr>
        <w:ind w:left="4600" w:hanging="360"/>
      </w:pPr>
      <w:rPr>
        <w:rFonts w:hint="default"/>
        <w:lang w:val="en-US" w:eastAsia="en-US" w:bidi="ar-SA"/>
      </w:rPr>
    </w:lvl>
    <w:lvl w:ilvl="6">
      <w:start w:val="0"/>
      <w:numFmt w:val="bullet"/>
      <w:lvlText w:val="•"/>
      <w:lvlJc w:val="left"/>
      <w:pPr>
        <w:ind w:left="5480" w:hanging="360"/>
      </w:pPr>
      <w:rPr>
        <w:rFonts w:hint="default"/>
        <w:lang w:val="en-US" w:eastAsia="en-US" w:bidi="ar-SA"/>
      </w:rPr>
    </w:lvl>
    <w:lvl w:ilvl="7">
      <w:start w:val="0"/>
      <w:numFmt w:val="bullet"/>
      <w:lvlText w:val="•"/>
      <w:lvlJc w:val="left"/>
      <w:pPr>
        <w:ind w:left="6360" w:hanging="360"/>
      </w:pPr>
      <w:rPr>
        <w:rFonts w:hint="default"/>
        <w:lang w:val="en-US" w:eastAsia="en-US" w:bidi="ar-SA"/>
      </w:rPr>
    </w:lvl>
    <w:lvl w:ilvl="8">
      <w:start w:val="0"/>
      <w:numFmt w:val="bullet"/>
      <w:lvlText w:val="•"/>
      <w:lvlJc w:val="left"/>
      <w:pPr>
        <w:ind w:left="724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80"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7"/>
      <w:ind w:left="730" w:right="983" w:firstLine="602"/>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74" w:lineRule="exact"/>
      <w:ind w:left="359" w:hanging="359"/>
      <w:outlineLvl w:val="2"/>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He</dc:creator>
  <dcterms:created xsi:type="dcterms:W3CDTF">2026-08-06T18:41:39Z</dcterms:created>
  <dcterms:modified xsi:type="dcterms:W3CDTF">2026-08-06T18:41:39Z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2019-04-13T00:00:00Z</vt:filetime>
  </property>
  <property fmtid="{D5CDD505-2E9C-101B-9397-08002B2CF9AE}" pid="3" name="Creator">
    <vt:lpwstr>Microsoft® Word 2010</vt:lpwstr>
  </property>
  <property fmtid="{D5CDD505-2E9C-101B-9397-08002B2CF9AE}" pid="4" name="LastSaved">
    <vt:filetime>2026-08-06T00:00:00Z</vt:filetime>
  </property>
  <property fmtid="{D5CDD505-2E9C-101B-9397-08002B2CF9AE}" pid="5" name="Producer">
    <vt:lpwstr>Microsoft® Word 2010</vt:lpwstr>
  </property>
</Properties>
</file>