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8303A" w:rsidRDefault="00000000">
      <w:pPr>
        <w:pStyle w:val="Heading1"/>
        <w:spacing w:line="240" w:lineRule="auto"/>
        <w:rPr>
          <w:sz w:val="42"/>
          <w:szCs w:val="42"/>
        </w:rPr>
      </w:pPr>
      <w:bookmarkStart w:id="0" w:name="_7l41r6t8uuzt" w:colFirst="0" w:colLast="0"/>
      <w:bookmarkEnd w:id="0"/>
      <w:r>
        <w:rPr>
          <w:sz w:val="42"/>
          <w:szCs w:val="42"/>
        </w:rPr>
        <w:t xml:space="preserve">Stony Brook University College of Arts and Sciences </w:t>
      </w:r>
    </w:p>
    <w:p w14:paraId="00000002" w14:textId="77777777" w:rsidR="0018303A" w:rsidRDefault="00000000">
      <w:pPr>
        <w:pStyle w:val="Heading1"/>
        <w:spacing w:line="240" w:lineRule="auto"/>
        <w:rPr>
          <w:sz w:val="42"/>
          <w:szCs w:val="42"/>
        </w:rPr>
      </w:pPr>
      <w:bookmarkStart w:id="1" w:name="_3svn6mfyp0ki" w:colFirst="0" w:colLast="0"/>
      <w:bookmarkEnd w:id="1"/>
      <w:r>
        <w:rPr>
          <w:sz w:val="42"/>
          <w:szCs w:val="42"/>
        </w:rPr>
        <w:t>Research Assignment/Fellowship Policies</w:t>
      </w:r>
    </w:p>
    <w:p w14:paraId="00000003" w14:textId="77777777" w:rsidR="0018303A" w:rsidRDefault="00000000">
      <w:pPr>
        <w:pStyle w:val="Heading1"/>
        <w:spacing w:line="240" w:lineRule="auto"/>
        <w:rPr>
          <w:sz w:val="42"/>
          <w:szCs w:val="42"/>
        </w:rPr>
      </w:pPr>
      <w:bookmarkStart w:id="2" w:name="_4s3by6ttdkws" w:colFirst="0" w:colLast="0"/>
      <w:bookmarkEnd w:id="2"/>
      <w:r>
        <w:rPr>
          <w:sz w:val="42"/>
          <w:szCs w:val="42"/>
        </w:rPr>
        <w:t>September 9, 2026</w:t>
      </w:r>
    </w:p>
    <w:p w14:paraId="00000004" w14:textId="77777777" w:rsidR="0018303A" w:rsidRDefault="00000000">
      <w:pPr>
        <w:spacing w:before="150" w:after="0" w:line="240" w:lineRule="auto"/>
        <w:rPr>
          <w:color w:val="000000"/>
        </w:rPr>
      </w:pPr>
      <w:r>
        <w:rPr>
          <w:color w:val="000000"/>
        </w:rPr>
        <w:t xml:space="preserve">Please note: each research assignment defined below is </w:t>
      </w:r>
      <w:r>
        <w:rPr>
          <w:b/>
          <w:bCs/>
          <w:color w:val="000000"/>
        </w:rPr>
        <w:t>not</w:t>
      </w:r>
      <w:r>
        <w:rPr>
          <w:color w:val="000000"/>
        </w:rPr>
        <w:t xml:space="preserve"> a leave of absence. Faculty members on research assignments are expected to fulfill their other obligations and continue to submit their timesheets.  Research assignments also should not be used in lieu of FMLA/parental leave. </w:t>
      </w:r>
    </w:p>
    <w:p w14:paraId="00000005" w14:textId="77777777" w:rsidR="0018303A" w:rsidRDefault="00000000">
      <w:pPr>
        <w:pStyle w:val="Heading2"/>
        <w:spacing w:before="150" w:after="0" w:line="240" w:lineRule="auto"/>
      </w:pPr>
      <w:bookmarkStart w:id="3" w:name="_aspnog7q0i8l" w:colFirst="0" w:colLast="0"/>
      <w:bookmarkEnd w:id="3"/>
      <w:r>
        <w:t>Types of research assignments described in this policy: </w:t>
      </w:r>
    </w:p>
    <w:p w14:paraId="00000006" w14:textId="77777777" w:rsidR="0018303A" w:rsidRDefault="0018303A">
      <w:pPr>
        <w:pStyle w:val="Heading2"/>
        <w:spacing w:before="100" w:after="0" w:line="240" w:lineRule="auto"/>
        <w:ind w:left="1080"/>
      </w:pPr>
      <w:bookmarkStart w:id="4" w:name="_eip29bnmtpos" w:colFirst="0" w:colLast="0"/>
      <w:bookmarkEnd w:id="4"/>
    </w:p>
    <w:p w14:paraId="00000007" w14:textId="77777777" w:rsidR="0018303A" w:rsidRDefault="00000000">
      <w:pPr>
        <w:numPr>
          <w:ilvl w:val="0"/>
          <w:numId w:val="3"/>
        </w:numPr>
        <w:pBdr>
          <w:top w:val="nil"/>
          <w:left w:val="nil"/>
          <w:bottom w:val="nil"/>
          <w:right w:val="nil"/>
          <w:between w:val="nil"/>
        </w:pBdr>
      </w:pPr>
      <w:r>
        <w:rPr>
          <w:b/>
          <w:bCs/>
          <w:color w:val="000000"/>
        </w:rPr>
        <w:t xml:space="preserve">Junior Research Assignment </w:t>
      </w:r>
      <w:r>
        <w:rPr>
          <w:color w:val="000000"/>
        </w:rPr>
        <w:t xml:space="preserve">is an </w:t>
      </w:r>
      <w:proofErr w:type="gramStart"/>
      <w:r>
        <w:rPr>
          <w:color w:val="000000"/>
        </w:rPr>
        <w:t>arrangement internal</w:t>
      </w:r>
      <w:proofErr w:type="gramEnd"/>
      <w:r>
        <w:rPr>
          <w:color w:val="000000"/>
        </w:rPr>
        <w:t xml:space="preserve"> to the College made available to tenure track faculty to allow time for sustained focus on research. CAS grants relief from teaching responsibilities for an entire semester or a release from one course in two different semesters prior to tenure evaluation. </w:t>
      </w:r>
    </w:p>
    <w:p w14:paraId="00000008" w14:textId="77777777" w:rsidR="0018303A" w:rsidRDefault="0018303A">
      <w:pPr>
        <w:spacing w:after="0" w:line="240" w:lineRule="auto"/>
        <w:ind w:left="1080"/>
        <w:rPr>
          <w:color w:val="000000"/>
        </w:rPr>
      </w:pPr>
    </w:p>
    <w:p w14:paraId="00000009" w14:textId="77777777" w:rsidR="0018303A" w:rsidRDefault="00000000">
      <w:pPr>
        <w:numPr>
          <w:ilvl w:val="0"/>
          <w:numId w:val="3"/>
        </w:numPr>
        <w:pBdr>
          <w:top w:val="nil"/>
          <w:left w:val="nil"/>
          <w:bottom w:val="nil"/>
          <w:right w:val="nil"/>
          <w:between w:val="nil"/>
        </w:pBdr>
        <w:spacing w:after="0"/>
      </w:pPr>
      <w:r>
        <w:rPr>
          <w:b/>
          <w:bCs/>
          <w:color w:val="000000"/>
        </w:rPr>
        <w:t xml:space="preserve">Senior Research Assignment </w:t>
      </w:r>
      <w:r>
        <w:rPr>
          <w:color w:val="000000"/>
        </w:rPr>
        <w:t xml:space="preserve">is an arrangement internal to the College wherein a tenured faculty member is relieved from their teaching obligations to allow time for sustained focus on research. </w:t>
      </w:r>
    </w:p>
    <w:p w14:paraId="0000000A" w14:textId="77777777" w:rsidR="0018303A" w:rsidRDefault="0018303A">
      <w:pPr>
        <w:pBdr>
          <w:top w:val="nil"/>
          <w:left w:val="nil"/>
          <w:bottom w:val="nil"/>
          <w:right w:val="nil"/>
          <w:between w:val="nil"/>
        </w:pBdr>
        <w:spacing w:after="0"/>
        <w:ind w:left="1080"/>
        <w:rPr>
          <w:color w:val="000000"/>
        </w:rPr>
      </w:pPr>
    </w:p>
    <w:p w14:paraId="0000000B" w14:textId="77777777" w:rsidR="0018303A" w:rsidRDefault="00000000">
      <w:pPr>
        <w:numPr>
          <w:ilvl w:val="0"/>
          <w:numId w:val="3"/>
        </w:numPr>
        <w:pBdr>
          <w:top w:val="nil"/>
          <w:left w:val="nil"/>
          <w:bottom w:val="nil"/>
          <w:right w:val="nil"/>
          <w:between w:val="nil"/>
        </w:pBdr>
        <w:spacing w:after="0" w:line="240" w:lineRule="auto"/>
      </w:pPr>
      <w:r>
        <w:rPr>
          <w:b/>
          <w:bCs/>
          <w:color w:val="000000"/>
        </w:rPr>
        <w:t xml:space="preserve">Fellowship Research Assignment </w:t>
      </w:r>
      <w:r>
        <w:rPr>
          <w:color w:val="000000"/>
        </w:rPr>
        <w:t>is an arrangement internal to the College where a tenured or tenure-track faculty member is relieved from their teaching obligation to take part in a research opportunity funded by a significant grant, fellowship, or other award.</w:t>
      </w:r>
    </w:p>
    <w:p w14:paraId="0000000C" w14:textId="77777777" w:rsidR="0018303A" w:rsidRDefault="0018303A">
      <w:pPr>
        <w:pBdr>
          <w:top w:val="nil"/>
          <w:left w:val="nil"/>
          <w:bottom w:val="nil"/>
          <w:right w:val="nil"/>
          <w:between w:val="nil"/>
        </w:pBdr>
        <w:ind w:left="720"/>
        <w:rPr>
          <w:color w:val="000000"/>
        </w:rPr>
      </w:pPr>
    </w:p>
    <w:p w14:paraId="0000000D" w14:textId="77777777" w:rsidR="0018303A" w:rsidRDefault="00000000">
      <w:pPr>
        <w:pStyle w:val="Heading2"/>
        <w:spacing w:before="100" w:after="0" w:line="240" w:lineRule="auto"/>
      </w:pPr>
      <w:bookmarkStart w:id="5" w:name="_h1i5a0tm5cz4" w:colFirst="0" w:colLast="0"/>
      <w:bookmarkEnd w:id="5"/>
      <w:r>
        <w:t>Other types of releases:</w:t>
      </w:r>
    </w:p>
    <w:p w14:paraId="0000000E" w14:textId="77777777" w:rsidR="0018303A" w:rsidRDefault="0018303A">
      <w:pPr>
        <w:spacing w:after="0" w:line="240" w:lineRule="auto"/>
      </w:pPr>
    </w:p>
    <w:p w14:paraId="0000000F" w14:textId="77777777" w:rsidR="0018303A" w:rsidRDefault="00000000">
      <w:pPr>
        <w:numPr>
          <w:ilvl w:val="0"/>
          <w:numId w:val="2"/>
        </w:numPr>
        <w:pBdr>
          <w:top w:val="nil"/>
          <w:left w:val="nil"/>
          <w:bottom w:val="nil"/>
          <w:right w:val="nil"/>
          <w:between w:val="nil"/>
        </w:pBdr>
        <w:spacing w:after="0" w:line="240" w:lineRule="auto"/>
        <w:rPr>
          <w:color w:val="000000"/>
        </w:rPr>
      </w:pPr>
      <w:r>
        <w:rPr>
          <w:b/>
          <w:bCs/>
          <w:color w:val="000000"/>
        </w:rPr>
        <w:t xml:space="preserve">Release time with reduction of </w:t>
      </w:r>
      <w:proofErr w:type="gramStart"/>
      <w:r>
        <w:rPr>
          <w:b/>
          <w:bCs/>
          <w:color w:val="000000"/>
        </w:rPr>
        <w:t>Full Time</w:t>
      </w:r>
      <w:proofErr w:type="gramEnd"/>
      <w:r>
        <w:rPr>
          <w:b/>
          <w:bCs/>
          <w:color w:val="000000"/>
        </w:rPr>
        <w:t xml:space="preserve"> Effort (FTE)</w:t>
      </w:r>
      <w:r>
        <w:rPr>
          <w:color w:val="000000"/>
        </w:rPr>
        <w:t xml:space="preserve"> is a reduction of obligations of a faculty member. If an individual’s effort and state salary are reduced, there may be benefits implications, and TIAA contributions will be reduced in accordance with the reduced effort. A reduction </w:t>
      </w:r>
      <w:proofErr w:type="gramStart"/>
      <w:r>
        <w:rPr>
          <w:color w:val="000000"/>
        </w:rPr>
        <w:t>of</w:t>
      </w:r>
      <w:proofErr w:type="gramEnd"/>
      <w:r>
        <w:rPr>
          <w:color w:val="000000"/>
        </w:rPr>
        <w:t xml:space="preserve"> effort is not a leave of absence or a sabbatical </w:t>
      </w:r>
      <w:proofErr w:type="gramStart"/>
      <w:r>
        <w:rPr>
          <w:color w:val="000000"/>
        </w:rPr>
        <w:t>leave</w:t>
      </w:r>
      <w:proofErr w:type="gramEnd"/>
      <w:r>
        <w:rPr>
          <w:color w:val="000000"/>
        </w:rPr>
        <w:t xml:space="preserve"> and the faculty member will still need to fulfill all their obligations other than teaching. </w:t>
      </w:r>
    </w:p>
    <w:p w14:paraId="00000010" w14:textId="77777777" w:rsidR="0018303A" w:rsidRDefault="00000000">
      <w:pPr>
        <w:numPr>
          <w:ilvl w:val="0"/>
          <w:numId w:val="2"/>
        </w:numPr>
        <w:pBdr>
          <w:top w:val="nil"/>
          <w:left w:val="nil"/>
          <w:bottom w:val="nil"/>
          <w:right w:val="nil"/>
          <w:between w:val="nil"/>
        </w:pBdr>
        <w:spacing w:after="0" w:line="240" w:lineRule="auto"/>
        <w:rPr>
          <w:color w:val="000000"/>
        </w:rPr>
      </w:pPr>
      <w:r>
        <w:rPr>
          <w:b/>
          <w:bCs/>
          <w:color w:val="000000"/>
        </w:rPr>
        <w:t>Leave without pay</w:t>
      </w:r>
      <w:r>
        <w:rPr>
          <w:color w:val="000000"/>
        </w:rPr>
        <w:t xml:space="preserve"> is a temporary release from all University obligations. No salary is paid during the leave, the individual is responsible for continuance of </w:t>
      </w:r>
      <w:proofErr w:type="gramStart"/>
      <w:r>
        <w:rPr>
          <w:color w:val="000000"/>
        </w:rPr>
        <w:t>benefits</w:t>
      </w:r>
      <w:proofErr w:type="gramEnd"/>
      <w:r>
        <w:rPr>
          <w:color w:val="000000"/>
        </w:rPr>
        <w:t xml:space="preserve"> and no University contributions are made to TIAA contracts for the leave period.</w:t>
      </w:r>
    </w:p>
    <w:p w14:paraId="00000011" w14:textId="77777777" w:rsidR="0018303A" w:rsidRDefault="00000000">
      <w:pPr>
        <w:numPr>
          <w:ilvl w:val="0"/>
          <w:numId w:val="2"/>
        </w:numPr>
        <w:pBdr>
          <w:top w:val="nil"/>
          <w:left w:val="nil"/>
          <w:bottom w:val="nil"/>
          <w:right w:val="nil"/>
          <w:between w:val="nil"/>
        </w:pBdr>
        <w:spacing w:after="0" w:line="240" w:lineRule="auto"/>
        <w:rPr>
          <w:color w:val="000000"/>
        </w:rPr>
      </w:pPr>
      <w:r>
        <w:rPr>
          <w:b/>
          <w:bCs/>
          <w:color w:val="000000"/>
        </w:rPr>
        <w:t>Sabbatical leave</w:t>
      </w:r>
      <w:r>
        <w:rPr>
          <w:color w:val="000000"/>
        </w:rPr>
        <w:t xml:space="preserve">: A semester </w:t>
      </w:r>
      <w:proofErr w:type="gramStart"/>
      <w:r>
        <w:rPr>
          <w:color w:val="000000"/>
        </w:rPr>
        <w:t>leave</w:t>
      </w:r>
      <w:proofErr w:type="gramEnd"/>
      <w:r>
        <w:rPr>
          <w:color w:val="000000"/>
        </w:rPr>
        <w:t xml:space="preserve"> at full pay or a year at half pay for tenured faculty who have six years of continuous appointment</w:t>
      </w:r>
      <w:r>
        <w:rPr>
          <w:color w:val="212529"/>
          <w:highlight w:val="white"/>
        </w:rPr>
        <w:t xml:space="preserve"> These leaves are for the purpose of engaging in scholarly </w:t>
      </w:r>
      <w:r>
        <w:rPr>
          <w:color w:val="212529"/>
          <w:highlight w:val="white"/>
        </w:rPr>
        <w:lastRenderedPageBreak/>
        <w:t>development or other activities that will increase their scholarly achievement and their capacity for service to the university</w:t>
      </w:r>
      <w:r>
        <w:rPr>
          <w:color w:val="000000"/>
        </w:rPr>
        <w:t>. They are subject to the Policies of the Board of Trustees.</w:t>
      </w:r>
    </w:p>
    <w:p w14:paraId="00000012" w14:textId="77777777" w:rsidR="0018303A" w:rsidRDefault="0018303A">
      <w:pPr>
        <w:pBdr>
          <w:top w:val="nil"/>
          <w:left w:val="nil"/>
          <w:bottom w:val="nil"/>
          <w:right w:val="nil"/>
          <w:between w:val="nil"/>
        </w:pBdr>
        <w:spacing w:after="0" w:line="240" w:lineRule="auto"/>
        <w:ind w:left="720"/>
        <w:rPr>
          <w:color w:val="000000"/>
        </w:rPr>
      </w:pPr>
    </w:p>
    <w:p w14:paraId="00000013" w14:textId="77777777" w:rsidR="0018303A" w:rsidRDefault="0018303A">
      <w:pPr>
        <w:rPr>
          <w:b/>
          <w:bCs/>
        </w:rPr>
      </w:pPr>
    </w:p>
    <w:p w14:paraId="00000014" w14:textId="77777777" w:rsidR="0018303A" w:rsidRDefault="0018303A">
      <w:pPr>
        <w:rPr>
          <w:b/>
          <w:bCs/>
        </w:rPr>
      </w:pPr>
    </w:p>
    <w:p w14:paraId="00000015" w14:textId="77777777" w:rsidR="0018303A" w:rsidRDefault="0018303A">
      <w:pPr>
        <w:rPr>
          <w:b/>
          <w:bCs/>
        </w:rPr>
      </w:pPr>
    </w:p>
    <w:p w14:paraId="00000016" w14:textId="77777777" w:rsidR="0018303A" w:rsidRDefault="00000000">
      <w:pPr>
        <w:pStyle w:val="Heading2"/>
        <w:spacing w:after="0"/>
      </w:pPr>
      <w:bookmarkStart w:id="6" w:name="_8mb2p2boxxt9" w:colFirst="0" w:colLast="0"/>
      <w:bookmarkEnd w:id="6"/>
      <w:r>
        <w:t>I. Junior Research Assignment</w:t>
      </w:r>
    </w:p>
    <w:p w14:paraId="00000017" w14:textId="77777777" w:rsidR="0018303A" w:rsidRDefault="0018303A">
      <w:pPr>
        <w:pStyle w:val="Heading3"/>
        <w:spacing w:after="0"/>
      </w:pPr>
      <w:bookmarkStart w:id="7" w:name="_fajk46s0wsq6" w:colFirst="0" w:colLast="0"/>
      <w:bookmarkEnd w:id="7"/>
    </w:p>
    <w:p w14:paraId="00000018" w14:textId="77777777" w:rsidR="0018303A" w:rsidRDefault="00000000">
      <w:pPr>
        <w:pStyle w:val="Heading3"/>
      </w:pPr>
      <w:bookmarkStart w:id="8" w:name="_ugzaociv6vxw" w:colFirst="0" w:colLast="0"/>
      <w:bookmarkEnd w:id="8"/>
      <w:r>
        <w:t>Eligibility, Scheduling, and Obligations</w:t>
      </w:r>
    </w:p>
    <w:p w14:paraId="00000019" w14:textId="77777777" w:rsidR="0018303A" w:rsidRDefault="00000000">
      <w:pPr>
        <w:numPr>
          <w:ilvl w:val="0"/>
          <w:numId w:val="5"/>
        </w:numPr>
        <w:pBdr>
          <w:top w:val="nil"/>
          <w:left w:val="nil"/>
          <w:bottom w:val="nil"/>
          <w:right w:val="nil"/>
          <w:between w:val="nil"/>
        </w:pBdr>
        <w:spacing w:after="0"/>
        <w:rPr>
          <w:color w:val="000000"/>
        </w:rPr>
      </w:pPr>
      <w:r>
        <w:rPr>
          <w:color w:val="000000"/>
        </w:rPr>
        <w:t xml:space="preserve">To receive a release equivalent to one semester’s teaching, the faculty member must show evidence of having applied or intending to apply for external grant or fellowship funding, though success in securing this funding is NOT a requirement for the research assignment. </w:t>
      </w:r>
    </w:p>
    <w:p w14:paraId="0000001A" w14:textId="77777777" w:rsidR="0018303A" w:rsidRDefault="00000000">
      <w:pPr>
        <w:numPr>
          <w:ilvl w:val="0"/>
          <w:numId w:val="5"/>
        </w:numPr>
        <w:pBdr>
          <w:top w:val="nil"/>
          <w:left w:val="nil"/>
          <w:bottom w:val="nil"/>
          <w:right w:val="nil"/>
          <w:between w:val="nil"/>
        </w:pBdr>
        <w:spacing w:after="0"/>
        <w:rPr>
          <w:color w:val="000000"/>
        </w:rPr>
      </w:pPr>
      <w:r>
        <w:rPr>
          <w:color w:val="000000"/>
        </w:rPr>
        <w:t xml:space="preserve">The research assignment should not be used during the first year of the faculty’s members appointment or during the last year prior to the tenure decision, in order to ensure adequate opportunity for the faculty member’s teaching and service to be evaluated for the tenure dossier; exceptions to this policy require approval of the chair and dean. Otherwise, faculty members should work with their chairs to release time or times that </w:t>
      </w:r>
      <w:proofErr w:type="gramStart"/>
      <w:r>
        <w:rPr>
          <w:color w:val="000000"/>
        </w:rPr>
        <w:t>works</w:t>
      </w:r>
      <w:proofErr w:type="gramEnd"/>
      <w:r>
        <w:rPr>
          <w:color w:val="000000"/>
        </w:rPr>
        <w:t xml:space="preserve"> best to accomplish their research goals and that does not present a serious impediment for the department to fulfill its teaching mission. </w:t>
      </w:r>
    </w:p>
    <w:p w14:paraId="0000001B" w14:textId="77777777" w:rsidR="0018303A" w:rsidRDefault="00000000">
      <w:pPr>
        <w:numPr>
          <w:ilvl w:val="0"/>
          <w:numId w:val="5"/>
        </w:numPr>
        <w:pBdr>
          <w:top w:val="nil"/>
          <w:left w:val="nil"/>
          <w:bottom w:val="nil"/>
          <w:right w:val="nil"/>
          <w:between w:val="nil"/>
        </w:pBdr>
        <w:spacing w:after="0"/>
        <w:rPr>
          <w:color w:val="000000"/>
        </w:rPr>
      </w:pPr>
      <w:r>
        <w:rPr>
          <w:color w:val="000000"/>
        </w:rPr>
        <w:t xml:space="preserve">Acceptance of a Junior Research Assignment carries with it a commitment to return to the faculty full-time for no less than one year. </w:t>
      </w:r>
    </w:p>
    <w:p w14:paraId="0000001C" w14:textId="77777777" w:rsidR="0018303A" w:rsidRDefault="00000000">
      <w:pPr>
        <w:numPr>
          <w:ilvl w:val="0"/>
          <w:numId w:val="5"/>
        </w:numPr>
        <w:pBdr>
          <w:top w:val="nil"/>
          <w:left w:val="nil"/>
          <w:bottom w:val="nil"/>
          <w:right w:val="nil"/>
          <w:between w:val="nil"/>
        </w:pBdr>
        <w:spacing w:after="0"/>
        <w:rPr>
          <w:color w:val="000000"/>
        </w:rPr>
      </w:pPr>
      <w:r>
        <w:rPr>
          <w:color w:val="000000"/>
        </w:rPr>
        <w:t xml:space="preserve">Faculty members who received a “phased” level of teaching equivalent to a normal half year load are not eligible for the junior research assignment. </w:t>
      </w:r>
    </w:p>
    <w:p w14:paraId="0000001D" w14:textId="77777777" w:rsidR="0018303A" w:rsidRDefault="00000000">
      <w:pPr>
        <w:numPr>
          <w:ilvl w:val="0"/>
          <w:numId w:val="5"/>
        </w:numPr>
        <w:pBdr>
          <w:top w:val="nil"/>
          <w:left w:val="nil"/>
          <w:bottom w:val="nil"/>
          <w:right w:val="nil"/>
          <w:between w:val="nil"/>
        </w:pBdr>
        <w:spacing w:after="0"/>
        <w:rPr>
          <w:color w:val="000000"/>
        </w:rPr>
      </w:pPr>
      <w:r>
        <w:rPr>
          <w:color w:val="000000"/>
        </w:rPr>
        <w:t>Note that the Junior Research Assignment does not constitute an extension of time to tenure, which may be granted under special circumstances. (See Promotion and Tenure Policies and Procedures).</w:t>
      </w:r>
    </w:p>
    <w:p w14:paraId="0000001E" w14:textId="77777777" w:rsidR="0018303A" w:rsidRDefault="0018303A">
      <w:pPr>
        <w:rPr>
          <w:b/>
          <w:bCs/>
          <w:i/>
          <w:iCs/>
        </w:rPr>
      </w:pPr>
    </w:p>
    <w:p w14:paraId="0000001F" w14:textId="77777777" w:rsidR="0018303A" w:rsidRDefault="00000000">
      <w:pPr>
        <w:pStyle w:val="Heading3"/>
        <w:spacing w:after="0"/>
      </w:pPr>
      <w:bookmarkStart w:id="9" w:name="_vvjmko3vfzqe" w:colFirst="0" w:colLast="0"/>
      <w:bookmarkEnd w:id="9"/>
      <w:r>
        <w:t>Application Procedure:</w:t>
      </w:r>
    </w:p>
    <w:p w14:paraId="00000020" w14:textId="77777777" w:rsidR="0018303A" w:rsidRDefault="0018303A">
      <w:pPr>
        <w:spacing w:after="0"/>
      </w:pPr>
    </w:p>
    <w:p w14:paraId="00000021" w14:textId="77777777" w:rsidR="0018303A" w:rsidRDefault="00000000">
      <w:pPr>
        <w:numPr>
          <w:ilvl w:val="0"/>
          <w:numId w:val="4"/>
        </w:numPr>
        <w:pBdr>
          <w:top w:val="nil"/>
          <w:left w:val="nil"/>
          <w:bottom w:val="nil"/>
          <w:right w:val="nil"/>
          <w:between w:val="nil"/>
        </w:pBdr>
        <w:spacing w:after="0"/>
        <w:rPr>
          <w:color w:val="000000"/>
        </w:rPr>
      </w:pPr>
      <w:r>
        <w:rPr>
          <w:color w:val="000000"/>
        </w:rPr>
        <w:t xml:space="preserve">Faculty member must provide to their chair a </w:t>
      </w:r>
      <w:hyperlink r:id="rId5">
        <w:r>
          <w:rPr>
            <w:color w:val="0563C1"/>
            <w:u w:val="single"/>
          </w:rPr>
          <w:t>complete application</w:t>
        </w:r>
      </w:hyperlink>
      <w:r>
        <w:rPr>
          <w:color w:val="000000"/>
        </w:rPr>
        <w:t xml:space="preserve"> for a junior research assignment or research assignment with a 1-2-page summary of the program of work to be completed during the research assignment and the outcomes expected, as well as information on their funding applications, including names of the funding agencies and relevant programs, funds requested, and submission dates.</w:t>
      </w:r>
    </w:p>
    <w:p w14:paraId="00000022" w14:textId="77777777" w:rsidR="0018303A" w:rsidRDefault="00000000">
      <w:pPr>
        <w:numPr>
          <w:ilvl w:val="0"/>
          <w:numId w:val="4"/>
        </w:numPr>
        <w:pBdr>
          <w:top w:val="nil"/>
          <w:left w:val="nil"/>
          <w:bottom w:val="nil"/>
          <w:right w:val="nil"/>
          <w:between w:val="nil"/>
        </w:pBdr>
        <w:spacing w:after="0"/>
        <w:rPr>
          <w:color w:val="000000"/>
        </w:rPr>
      </w:pPr>
      <w:r>
        <w:rPr>
          <w:color w:val="000000"/>
        </w:rPr>
        <w:t xml:space="preserve">If the faculty member’s research activities require them to be off campus during the research assignment, that should be discussed and approved in advance. </w:t>
      </w:r>
    </w:p>
    <w:p w14:paraId="00000023" w14:textId="77777777" w:rsidR="0018303A" w:rsidRDefault="00000000">
      <w:pPr>
        <w:numPr>
          <w:ilvl w:val="0"/>
          <w:numId w:val="4"/>
        </w:numPr>
        <w:pBdr>
          <w:top w:val="nil"/>
          <w:left w:val="nil"/>
          <w:bottom w:val="nil"/>
          <w:right w:val="nil"/>
          <w:between w:val="nil"/>
        </w:pBdr>
        <w:spacing w:after="0"/>
        <w:rPr>
          <w:color w:val="000000"/>
        </w:rPr>
      </w:pPr>
      <w:r>
        <w:rPr>
          <w:color w:val="000000"/>
        </w:rPr>
        <w:t>Applications require endorsement by the chair and the dean, and the teaching needs of the department will be considered in determining the timing of the leave.</w:t>
      </w:r>
    </w:p>
    <w:p w14:paraId="00000024" w14:textId="77777777" w:rsidR="0018303A" w:rsidRDefault="00000000">
      <w:pPr>
        <w:numPr>
          <w:ilvl w:val="0"/>
          <w:numId w:val="4"/>
        </w:numPr>
        <w:pBdr>
          <w:top w:val="nil"/>
          <w:left w:val="nil"/>
          <w:bottom w:val="nil"/>
          <w:right w:val="nil"/>
          <w:between w:val="nil"/>
        </w:pBdr>
        <w:spacing w:after="0"/>
        <w:rPr>
          <w:color w:val="000000"/>
        </w:rPr>
      </w:pPr>
      <w:r>
        <w:rPr>
          <w:color w:val="000000"/>
        </w:rPr>
        <w:lastRenderedPageBreak/>
        <w:t xml:space="preserve">Department chairs must submit requests to the Dean’s office </w:t>
      </w:r>
      <w:r>
        <w:rPr>
          <w:b/>
          <w:bCs/>
          <w:color w:val="000000"/>
        </w:rPr>
        <w:t xml:space="preserve">by October 8 </w:t>
      </w:r>
      <w:r>
        <w:rPr>
          <w:color w:val="000000"/>
        </w:rPr>
        <w:t>of the year preceding the requested research assignment (for either fall or spring semester).</w:t>
      </w:r>
    </w:p>
    <w:p w14:paraId="00000025" w14:textId="77777777" w:rsidR="0018303A" w:rsidRDefault="00000000">
      <w:pPr>
        <w:numPr>
          <w:ilvl w:val="0"/>
          <w:numId w:val="4"/>
        </w:numPr>
        <w:pBdr>
          <w:top w:val="nil"/>
          <w:left w:val="nil"/>
          <w:bottom w:val="nil"/>
          <w:right w:val="nil"/>
          <w:between w:val="nil"/>
        </w:pBdr>
        <w:spacing w:after="0"/>
        <w:rPr>
          <w:color w:val="000000"/>
        </w:rPr>
      </w:pPr>
      <w:r>
        <w:rPr>
          <w:color w:val="000000"/>
        </w:rPr>
        <w:t>If the faculty member is successful in obtaining external funding for a year or longer, then the faculty member’s application for a junior research assignment is void.</w:t>
      </w:r>
    </w:p>
    <w:p w14:paraId="00000026" w14:textId="77777777" w:rsidR="0018303A" w:rsidRDefault="00000000">
      <w:pPr>
        <w:numPr>
          <w:ilvl w:val="0"/>
          <w:numId w:val="4"/>
        </w:numPr>
        <w:pBdr>
          <w:top w:val="nil"/>
          <w:left w:val="nil"/>
          <w:bottom w:val="nil"/>
          <w:right w:val="nil"/>
          <w:between w:val="nil"/>
        </w:pBdr>
        <w:spacing w:after="0"/>
        <w:rPr>
          <w:color w:val="000000"/>
        </w:rPr>
      </w:pPr>
      <w:r>
        <w:rPr>
          <w:color w:val="000000"/>
        </w:rPr>
        <w:t>In the event a faculty member obtains a fellowship, they should delay their Junior Research Assignment at least until one semester has passed after returning from their fellowship. However, in some circumstances, a faculty member may take their Junior Research Assignment either immediately before or after a Fellowship Research Assignment, subject to the stipulations in Section III below.</w:t>
      </w:r>
    </w:p>
    <w:p w14:paraId="00000027" w14:textId="77777777" w:rsidR="0018303A" w:rsidRDefault="00000000">
      <w:pPr>
        <w:numPr>
          <w:ilvl w:val="0"/>
          <w:numId w:val="4"/>
        </w:numPr>
        <w:pBdr>
          <w:top w:val="nil"/>
          <w:left w:val="nil"/>
          <w:bottom w:val="nil"/>
          <w:right w:val="nil"/>
          <w:between w:val="nil"/>
        </w:pBdr>
        <w:rPr>
          <w:color w:val="000000"/>
        </w:rPr>
      </w:pPr>
      <w:r>
        <w:rPr>
          <w:color w:val="000000"/>
        </w:rPr>
        <w:t>CAS does not provide funds to replace the courses of a faculty member’s courses while on Junior Research Assignment</w:t>
      </w:r>
    </w:p>
    <w:p w14:paraId="00000028" w14:textId="77777777" w:rsidR="0018303A" w:rsidRDefault="00000000">
      <w:pPr>
        <w:pStyle w:val="Heading2"/>
        <w:spacing w:after="0"/>
      </w:pPr>
      <w:bookmarkStart w:id="10" w:name="_6tnyuv78qau5" w:colFirst="0" w:colLast="0"/>
      <w:bookmarkEnd w:id="10"/>
      <w:r>
        <w:t>II. Senior Research Assignments</w:t>
      </w:r>
    </w:p>
    <w:p w14:paraId="00000029" w14:textId="77777777" w:rsidR="0018303A" w:rsidRDefault="0018303A">
      <w:pPr>
        <w:pStyle w:val="Heading2"/>
        <w:spacing w:after="0"/>
      </w:pPr>
      <w:bookmarkStart w:id="11" w:name="_ev5al9nkgxym" w:colFirst="0" w:colLast="0"/>
      <w:bookmarkEnd w:id="11"/>
    </w:p>
    <w:p w14:paraId="0000002A" w14:textId="77777777" w:rsidR="0018303A" w:rsidRDefault="00000000">
      <w:pPr>
        <w:spacing w:after="0"/>
      </w:pPr>
      <w:r>
        <w:t xml:space="preserve">Tenured faculty members who serve in an administrative role at the department chair level or higher often include as part of their agreement a research assignment immediately following the successful completion of their term. These are designed to keep faculty research active as they transition back to their regular faculty appointments. Replacement teaching funds for these types of assignments are generally not guaranteed; like sabbaticals and Junior Research Assignments, departments are expected to restructure their schedules to cover these courses. </w:t>
      </w:r>
    </w:p>
    <w:p w14:paraId="0000002B" w14:textId="77777777" w:rsidR="0018303A" w:rsidRDefault="0018303A">
      <w:pPr>
        <w:spacing w:after="0"/>
        <w:ind w:left="720"/>
      </w:pPr>
    </w:p>
    <w:p w14:paraId="0000002C" w14:textId="77777777" w:rsidR="0018303A" w:rsidRDefault="00000000">
      <w:pPr>
        <w:spacing w:after="0"/>
      </w:pPr>
      <w:r>
        <w:t>At the discretion of department chairs and with the approval of the CAS Dean, associate professors who are research active, have actively applied for external funding, and have reached a crucial milestone in their scholarly trajectory (book proposal, revise and resubmit of manuscript, research grant, etc.) may be awarded relief from teaching responsibilities equivalent to one semester’s teaching. In these cases, CAS will not provide teaching replacement funds. Receiving a Senior Research Assignment does not and should not foreclose a future fellowship research assignment, should a faculty member be successful in a later application. These assignments are not to be given as a reward for service or teaching, but instead to help faculty sustain active and ongoing research activity.  The process of applying follows the same guidelines for junior research assignments outlined above in Section I.</w:t>
      </w:r>
    </w:p>
    <w:p w14:paraId="0000002D" w14:textId="77777777" w:rsidR="0018303A" w:rsidRDefault="0018303A">
      <w:pPr>
        <w:spacing w:after="0"/>
        <w:ind w:left="720"/>
      </w:pPr>
    </w:p>
    <w:p w14:paraId="0000002E" w14:textId="77777777" w:rsidR="0018303A" w:rsidRDefault="00000000">
      <w:pPr>
        <w:spacing w:after="0"/>
      </w:pPr>
      <w:r>
        <w:t>A senior research assignment counts as part of the four-semester rule described below in Section III.  If the faculty member’s research activities require them to be off campus during the research assignment, that should be discussed and approved by the CAS Dean in advance. Department chairs should indicate to CAS by including every research assignment request on the annual faculty leave (Qualtrics) survey of the year prior to when research assignment semester is scheduled.</w:t>
      </w:r>
    </w:p>
    <w:p w14:paraId="0000002F" w14:textId="77777777" w:rsidR="0018303A" w:rsidRDefault="0018303A">
      <w:pPr>
        <w:spacing w:after="0"/>
        <w:ind w:left="720"/>
        <w:rPr>
          <w:b/>
          <w:bCs/>
        </w:rPr>
      </w:pPr>
    </w:p>
    <w:p w14:paraId="00000030" w14:textId="77777777" w:rsidR="0018303A" w:rsidRDefault="0018303A">
      <w:pPr>
        <w:spacing w:after="0"/>
        <w:rPr>
          <w:b/>
          <w:bCs/>
        </w:rPr>
      </w:pPr>
    </w:p>
    <w:p w14:paraId="00000031" w14:textId="77777777" w:rsidR="0018303A" w:rsidRDefault="00000000">
      <w:pPr>
        <w:pStyle w:val="Heading2"/>
        <w:spacing w:after="0"/>
      </w:pPr>
      <w:bookmarkStart w:id="12" w:name="_w8dtxxxlf1ep" w:colFirst="0" w:colLast="0"/>
      <w:bookmarkEnd w:id="12"/>
      <w:r>
        <w:lastRenderedPageBreak/>
        <w:t>III. Fellowship Research Assignments</w:t>
      </w:r>
    </w:p>
    <w:p w14:paraId="00000032" w14:textId="77777777" w:rsidR="0018303A" w:rsidRDefault="0018303A">
      <w:pPr>
        <w:pStyle w:val="Heading2"/>
        <w:spacing w:after="0"/>
      </w:pPr>
      <w:bookmarkStart w:id="13" w:name="_scdflvr47nd1" w:colFirst="0" w:colLast="0"/>
      <w:bookmarkEnd w:id="13"/>
    </w:p>
    <w:p w14:paraId="00000033" w14:textId="77777777" w:rsidR="0018303A" w:rsidRDefault="00000000">
      <w:pPr>
        <w:spacing w:after="0"/>
      </w:pPr>
      <w:r>
        <w:t>Many fellowship opportunities require the recipient to be released from teaching obligations during the award period yet offer salary support less than the faculty member’s normal Stony Brook University salary. In these cases, faculty members may apply to the department chair and the Dean of the College of Arts and Sciences for “top up” salary funding that will fill the gap. This usually involves the faculty member staying on SUNY payroll with full benefits, with the granting institution submitting the award amount to Stony Brook. While less preferred, some granting institutions require that the fellowship be paid directly to the scholar rather than to their home institution. Please note that neither Stony Brook University nor the College of Arts &amp; Sciences is obligated to provide the salary that would fill the gap.</w:t>
      </w:r>
    </w:p>
    <w:p w14:paraId="00000034" w14:textId="77777777" w:rsidR="0018303A" w:rsidRDefault="0018303A">
      <w:pPr>
        <w:spacing w:after="0"/>
      </w:pPr>
    </w:p>
    <w:p w14:paraId="00000035" w14:textId="77777777" w:rsidR="0018303A" w:rsidRDefault="00000000">
      <w:pPr>
        <w:pStyle w:val="Heading3"/>
        <w:spacing w:after="0"/>
      </w:pPr>
      <w:bookmarkStart w:id="14" w:name="_phesq34mbmmx" w:colFirst="0" w:colLast="0"/>
      <w:bookmarkEnd w:id="14"/>
      <w:r>
        <w:t>Conditions and Terms for Salary Top-Up and Course Replacement Funds</w:t>
      </w:r>
    </w:p>
    <w:p w14:paraId="00000036" w14:textId="77777777" w:rsidR="0018303A" w:rsidRDefault="0018303A">
      <w:pPr>
        <w:spacing w:after="0"/>
      </w:pPr>
    </w:p>
    <w:p w14:paraId="00000037" w14:textId="77777777" w:rsidR="0018303A" w:rsidRDefault="00000000">
      <w:pPr>
        <w:numPr>
          <w:ilvl w:val="0"/>
          <w:numId w:val="1"/>
        </w:numPr>
        <w:pBdr>
          <w:top w:val="nil"/>
          <w:left w:val="nil"/>
          <w:bottom w:val="nil"/>
          <w:right w:val="nil"/>
          <w:between w:val="nil"/>
        </w:pBdr>
        <w:spacing w:after="0"/>
        <w:rPr>
          <w:color w:val="000000"/>
        </w:rPr>
      </w:pPr>
      <w:r>
        <w:rPr>
          <w:color w:val="000000"/>
        </w:rPr>
        <w:t xml:space="preserve">Before applying for external funding, a faculty member should present their chair with a 1-2 -page summary of the program of work to be completed during the assignment period and a completed </w:t>
      </w:r>
      <w:hyperlink r:id="rId6">
        <w:r>
          <w:rPr>
            <w:i/>
            <w:iCs/>
            <w:color w:val="0563C1"/>
            <w:u w:val="single"/>
          </w:rPr>
          <w:t>Faculty Fellowship Support Application</w:t>
        </w:r>
      </w:hyperlink>
      <w:r>
        <w:rPr>
          <w:color w:val="000000"/>
        </w:rPr>
        <w:t xml:space="preserve"> found on CAS website. Chairs must approve the faculty </w:t>
      </w:r>
      <w:proofErr w:type="gramStart"/>
      <w:r>
        <w:rPr>
          <w:color w:val="000000"/>
        </w:rPr>
        <w:t>member’s</w:t>
      </w:r>
      <w:proofErr w:type="gramEnd"/>
      <w:r>
        <w:rPr>
          <w:color w:val="000000"/>
        </w:rPr>
        <w:t xml:space="preserve"> application, include these requests in the Faculty Leave Qualtrics Survey submitted to CAS early in the fall semester, and forward all Faculty Fellowship Support Applications to CAS by the posted due date.</w:t>
      </w:r>
    </w:p>
    <w:p w14:paraId="00000038" w14:textId="77777777" w:rsidR="0018303A" w:rsidRDefault="00000000">
      <w:pPr>
        <w:numPr>
          <w:ilvl w:val="0"/>
          <w:numId w:val="1"/>
        </w:numPr>
        <w:pBdr>
          <w:top w:val="nil"/>
          <w:left w:val="nil"/>
          <w:bottom w:val="nil"/>
          <w:right w:val="nil"/>
          <w:between w:val="nil"/>
        </w:pBdr>
        <w:spacing w:after="0"/>
        <w:rPr>
          <w:color w:val="000000"/>
        </w:rPr>
      </w:pPr>
      <w:r>
        <w:rPr>
          <w:color w:val="000000"/>
        </w:rPr>
        <w:t xml:space="preserve">If successful, the faculty member must provide CAS as soon as possible with the following: </w:t>
      </w:r>
    </w:p>
    <w:p w14:paraId="00000039" w14:textId="77777777" w:rsidR="0018303A" w:rsidRDefault="00000000">
      <w:pPr>
        <w:pBdr>
          <w:top w:val="nil"/>
          <w:left w:val="nil"/>
          <w:bottom w:val="nil"/>
          <w:right w:val="nil"/>
          <w:between w:val="nil"/>
        </w:pBdr>
        <w:spacing w:after="0"/>
        <w:ind w:left="765"/>
        <w:rPr>
          <w:color w:val="000000"/>
        </w:rPr>
      </w:pPr>
      <w:r>
        <w:rPr>
          <w:color w:val="000000"/>
        </w:rPr>
        <w:t xml:space="preserve">1.) Written documentation from the granting institution detailing the award amount and obligations of the recipient. </w:t>
      </w:r>
    </w:p>
    <w:p w14:paraId="0000003A" w14:textId="77777777" w:rsidR="0018303A" w:rsidRDefault="00000000">
      <w:pPr>
        <w:pBdr>
          <w:top w:val="nil"/>
          <w:left w:val="nil"/>
          <w:bottom w:val="nil"/>
          <w:right w:val="nil"/>
          <w:between w:val="nil"/>
        </w:pBdr>
        <w:spacing w:after="0"/>
        <w:ind w:left="765"/>
        <w:rPr>
          <w:color w:val="000000"/>
        </w:rPr>
      </w:pPr>
      <w:r>
        <w:rPr>
          <w:color w:val="000000"/>
        </w:rPr>
        <w:t xml:space="preserve">2.) </w:t>
      </w:r>
      <w:hyperlink r:id="rId7">
        <w:r>
          <w:rPr>
            <w:i/>
            <w:iCs/>
            <w:color w:val="0563C1"/>
            <w:u w:val="single"/>
          </w:rPr>
          <w:t>Fellowship Billing Questionnaire</w:t>
        </w:r>
      </w:hyperlink>
      <w:r>
        <w:rPr>
          <w:color w:val="000000"/>
        </w:rPr>
        <w:t xml:space="preserve"> found on CAS website</w:t>
      </w:r>
    </w:p>
    <w:p w14:paraId="0000003B" w14:textId="77777777" w:rsidR="0018303A" w:rsidRDefault="00000000">
      <w:pPr>
        <w:numPr>
          <w:ilvl w:val="0"/>
          <w:numId w:val="2"/>
        </w:numPr>
        <w:pBdr>
          <w:top w:val="nil"/>
          <w:left w:val="nil"/>
          <w:bottom w:val="nil"/>
          <w:right w:val="nil"/>
          <w:between w:val="nil"/>
        </w:pBdr>
        <w:spacing w:after="0" w:line="240" w:lineRule="auto"/>
        <w:rPr>
          <w:color w:val="000000"/>
        </w:rPr>
      </w:pPr>
      <w:r>
        <w:rPr>
          <w:color w:val="000000"/>
        </w:rPr>
        <w:t>The award amount by itself or in combination of other departmental or external funds must be at least $25,000 per semester. If the fellowship pays less than this amount, the faculty member may still elect to take the fellowship and receive payment directly from the granting institution, if they are willing to go on a leave without pay and the leave is approved at all levels.</w:t>
      </w:r>
    </w:p>
    <w:p w14:paraId="0000003C" w14:textId="77777777" w:rsidR="0018303A" w:rsidRDefault="00000000">
      <w:pPr>
        <w:numPr>
          <w:ilvl w:val="0"/>
          <w:numId w:val="2"/>
        </w:numPr>
        <w:pBdr>
          <w:top w:val="nil"/>
          <w:left w:val="nil"/>
          <w:bottom w:val="nil"/>
          <w:right w:val="nil"/>
          <w:between w:val="nil"/>
        </w:pBdr>
        <w:spacing w:after="0" w:line="240" w:lineRule="auto"/>
        <w:rPr>
          <w:color w:val="000000"/>
        </w:rPr>
      </w:pPr>
      <w:r>
        <w:rPr>
          <w:color w:val="000000"/>
        </w:rPr>
        <w:t xml:space="preserve">If an external fellowship is awarded and the organization requires direct payment to the faculty member, release time may be granted through a reduction of </w:t>
      </w:r>
      <w:proofErr w:type="gramStart"/>
      <w:r>
        <w:rPr>
          <w:color w:val="000000"/>
        </w:rPr>
        <w:t>Full Time</w:t>
      </w:r>
      <w:proofErr w:type="gramEnd"/>
      <w:r>
        <w:rPr>
          <w:color w:val="000000"/>
        </w:rPr>
        <w:t xml:space="preserve"> Effort (FTE), as outlined in definitions above. The reduction of effort is determined by the salary support offered through the fellowship relative to the base salary.</w:t>
      </w:r>
    </w:p>
    <w:p w14:paraId="0000003D" w14:textId="77777777" w:rsidR="0018303A" w:rsidRDefault="00000000">
      <w:pPr>
        <w:numPr>
          <w:ilvl w:val="0"/>
          <w:numId w:val="1"/>
        </w:numPr>
        <w:pBdr>
          <w:top w:val="nil"/>
          <w:left w:val="nil"/>
          <w:bottom w:val="nil"/>
          <w:right w:val="nil"/>
          <w:between w:val="nil"/>
        </w:pBdr>
        <w:spacing w:after="0" w:line="256" w:lineRule="auto"/>
      </w:pPr>
      <w:r>
        <w:rPr>
          <w:color w:val="000000"/>
        </w:rPr>
        <w:t>Departments should strive to cover necessary courses scheduled to be offered by the fellowship recipient with existing staff. CAS will not automatically provide adjunct funds to cover replacement teaching. A chair may request additional adjunct funding to cover a fellowship recipient’s course or courses, and CAS will consider these requests as part of its annual adjunct budgeting process.</w:t>
      </w:r>
    </w:p>
    <w:p w14:paraId="0000003E" w14:textId="77777777" w:rsidR="0018303A" w:rsidRDefault="00000000">
      <w:pPr>
        <w:numPr>
          <w:ilvl w:val="0"/>
          <w:numId w:val="1"/>
        </w:numPr>
        <w:pBdr>
          <w:top w:val="nil"/>
          <w:left w:val="nil"/>
          <w:bottom w:val="nil"/>
          <w:right w:val="nil"/>
          <w:between w:val="nil"/>
        </w:pBdr>
        <w:spacing w:after="0" w:line="256" w:lineRule="auto"/>
      </w:pPr>
      <w:r>
        <w:rPr>
          <w:color w:val="000000"/>
        </w:rPr>
        <w:t>The granting institution should not require teaching obligations for assistant professors that are greater than 25% of what their SBU teaching obligations would be during the assignment period. (Post doc appointments are thus generally not eligible.) Prestigious visiting professorships for associate and full professors that require teaching at the granting institution may be eligible.</w:t>
      </w:r>
    </w:p>
    <w:p w14:paraId="0000003F" w14:textId="77777777" w:rsidR="0018303A" w:rsidRDefault="00000000">
      <w:pPr>
        <w:numPr>
          <w:ilvl w:val="0"/>
          <w:numId w:val="1"/>
        </w:numPr>
        <w:pBdr>
          <w:top w:val="nil"/>
          <w:left w:val="nil"/>
          <w:bottom w:val="nil"/>
          <w:right w:val="nil"/>
          <w:between w:val="nil"/>
        </w:pBdr>
        <w:spacing w:after="0"/>
        <w:rPr>
          <w:color w:val="000000"/>
        </w:rPr>
      </w:pPr>
      <w:r>
        <w:rPr>
          <w:color w:val="000000"/>
        </w:rPr>
        <w:lastRenderedPageBreak/>
        <w:t>A commitment from the faculty member to return to the faculty for no less than one year</w:t>
      </w:r>
    </w:p>
    <w:p w14:paraId="00000040" w14:textId="77777777" w:rsidR="0018303A" w:rsidRDefault="00000000">
      <w:pPr>
        <w:numPr>
          <w:ilvl w:val="0"/>
          <w:numId w:val="1"/>
        </w:numPr>
        <w:pBdr>
          <w:top w:val="nil"/>
          <w:left w:val="nil"/>
          <w:bottom w:val="nil"/>
          <w:right w:val="nil"/>
          <w:between w:val="nil"/>
        </w:pBdr>
        <w:spacing w:after="0"/>
        <w:rPr>
          <w:color w:val="000000"/>
        </w:rPr>
      </w:pPr>
      <w:r>
        <w:rPr>
          <w:color w:val="000000"/>
        </w:rPr>
        <w:t>Fellowship research assignments can be combined with junior research assignments or additional fellowship research assignments, but the following limits apply: Junior faculty should be released from no more than eight courses before going up for tenure. If they receive four semesters of fellowship research assignments, they are ineligible for a junior research assignment.</w:t>
      </w:r>
    </w:p>
    <w:p w14:paraId="00000041" w14:textId="77777777" w:rsidR="0018303A" w:rsidRDefault="00000000">
      <w:pPr>
        <w:numPr>
          <w:ilvl w:val="0"/>
          <w:numId w:val="1"/>
        </w:numPr>
        <w:pBdr>
          <w:top w:val="nil"/>
          <w:left w:val="nil"/>
          <w:bottom w:val="nil"/>
          <w:right w:val="nil"/>
          <w:between w:val="nil"/>
        </w:pBdr>
        <w:spacing w:after="0"/>
        <w:rPr>
          <w:color w:val="000000"/>
        </w:rPr>
      </w:pPr>
      <w:r>
        <w:rPr>
          <w:color w:val="000000"/>
        </w:rPr>
        <w:t xml:space="preserve">For tenured faculty, an external fellowship can be used to support a full year sabbatical. This can either be implemented as a reduction of FTE to 50% at half pay for a full academic year or through a combination of a one semester sabbatical followed by one semester of research assignment. Tenured faculty are limited to the equivalent of four semesters of research assignments between sabbaticals. </w:t>
      </w:r>
    </w:p>
    <w:p w14:paraId="00000042" w14:textId="77777777" w:rsidR="0018303A" w:rsidRDefault="00000000">
      <w:pPr>
        <w:numPr>
          <w:ilvl w:val="0"/>
          <w:numId w:val="1"/>
        </w:numPr>
        <w:pBdr>
          <w:top w:val="nil"/>
          <w:left w:val="nil"/>
          <w:bottom w:val="nil"/>
          <w:right w:val="nil"/>
          <w:between w:val="nil"/>
        </w:pBdr>
        <w:rPr>
          <w:color w:val="000000"/>
        </w:rPr>
      </w:pPr>
      <w:r>
        <w:rPr>
          <w:color w:val="000000"/>
        </w:rPr>
        <w:t>Fellowship research assignments do not stop the tenure clock</w:t>
      </w:r>
    </w:p>
    <w:sectPr w:rsidR="0018303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A55C412-86B5-41D3-AC3C-2A1A46D1C35D}"/>
  </w:font>
  <w:font w:name="Calibri">
    <w:panose1 w:val="020F0502020204030204"/>
    <w:charset w:val="00"/>
    <w:family w:val="swiss"/>
    <w:pitch w:val="variable"/>
    <w:sig w:usb0="E4002EFF" w:usb1="C200247B" w:usb2="00000009" w:usb3="00000000" w:csb0="000001FF" w:csb1="00000000"/>
    <w:embedRegular r:id="rId2" w:fontKey="{87765133-E584-47EC-B7B2-ECA6F4025711}"/>
    <w:embedBold r:id="rId3" w:fontKey="{96BDB3DE-28F4-4736-A7AC-76120EE755BB}"/>
    <w:embedItalic r:id="rId4" w:fontKey="{EE3CAEB3-29F9-42E0-A46B-B03E64972B86}"/>
    <w:embedBoldItalic r:id="rId5" w:fontKey="{743EE4A5-4F34-42CB-A094-3361946E3E2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6" w:fontKey="{D45C9E4C-AF60-4547-A11E-1238FC7404BA}"/>
  </w:font>
  <w:font w:name="Cambria">
    <w:panose1 w:val="02040503050406030204"/>
    <w:charset w:val="00"/>
    <w:family w:val="roman"/>
    <w:pitch w:val="variable"/>
    <w:sig w:usb0="E00006FF" w:usb1="420024FF" w:usb2="02000000" w:usb3="00000000" w:csb0="0000019F" w:csb1="00000000"/>
    <w:embedRegular r:id="rId7" w:fontKey="{AD21F931-8E9D-4AD7-83BE-B4A62354DAD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F6617"/>
    <w:multiLevelType w:val="multilevel"/>
    <w:tmpl w:val="AB708672"/>
    <w:lvl w:ilvl="0">
      <w:start w:val="1"/>
      <w:numFmt w:val="bullet"/>
      <w:lvlText w:val="●"/>
      <w:lvlJc w:val="left"/>
      <w:pPr>
        <w:ind w:left="765" w:hanging="360"/>
      </w:pPr>
      <w:rPr>
        <w:rFonts w:ascii="Noto Sans Symbols" w:eastAsia="Noto Sans Symbols" w:hAnsi="Noto Sans Symbols" w:cs="Noto Sans Symbols"/>
      </w:rPr>
    </w:lvl>
    <w:lvl w:ilvl="1">
      <w:numFmt w:val="bullet"/>
      <w:lvlText w:val="·"/>
      <w:lvlJc w:val="left"/>
      <w:pPr>
        <w:ind w:left="1485" w:hanging="360"/>
      </w:pPr>
      <w:rPr>
        <w:rFonts w:ascii="Calibri" w:eastAsia="Calibri" w:hAnsi="Calibri" w:cs="Calibri"/>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 w15:restartNumberingAfterBreak="0">
    <w:nsid w:val="154D5C0A"/>
    <w:multiLevelType w:val="multilevel"/>
    <w:tmpl w:val="6F407C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2A864CF"/>
    <w:multiLevelType w:val="multilevel"/>
    <w:tmpl w:val="50CC15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FA241E3"/>
    <w:multiLevelType w:val="multilevel"/>
    <w:tmpl w:val="BA3C4900"/>
    <w:lvl w:ilvl="0">
      <w:start w:val="1"/>
      <w:numFmt w:val="upperRoman"/>
      <w:lvlText w:val="%1."/>
      <w:lvlJc w:val="left"/>
      <w:pPr>
        <w:ind w:left="1080" w:hanging="720"/>
      </w:pPr>
      <w:rPr>
        <w:rFonts w:ascii="Calibri" w:eastAsia="Calibri" w:hAnsi="Calibri" w:cs="Calibri"/>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86A7D57"/>
    <w:multiLevelType w:val="multilevel"/>
    <w:tmpl w:val="71786BB2"/>
    <w:lvl w:ilvl="0">
      <w:start w:val="2"/>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426001586">
    <w:abstractNumId w:val="0"/>
  </w:num>
  <w:num w:numId="2" w16cid:durableId="658271892">
    <w:abstractNumId w:val="1"/>
  </w:num>
  <w:num w:numId="3" w16cid:durableId="889344771">
    <w:abstractNumId w:val="3"/>
  </w:num>
  <w:num w:numId="4" w16cid:durableId="894198923">
    <w:abstractNumId w:val="4"/>
  </w:num>
  <w:num w:numId="5" w16cid:durableId="721440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03A"/>
    <w:rsid w:val="0018303A"/>
    <w:rsid w:val="00476205"/>
    <w:rsid w:val="00FA5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D3CE08-0065-4E75-9A21-BDB51ACD0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tonybrook.edu/cas/faculty-and-staff/faculty-affairs/sabbaticals-leaves-research-assignmen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onybrook.edu/cas/faculty-and-staff/faculty-affairs/sabbaticals-leaves-research-assignment.html" TargetMode="External"/><Relationship Id="rId5" Type="http://schemas.openxmlformats.org/officeDocument/2006/relationships/hyperlink" Target="https://www.stonybrook.edu/cas/faculty-and-staff/faculty-affairs/sabbaticals-leaves-research-assignment.html"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1759</Words>
  <Characters>10032</Characters>
  <Application>Microsoft Office Word</Application>
  <DocSecurity>0</DocSecurity>
  <Lines>83</Lines>
  <Paragraphs>23</Paragraphs>
  <ScaleCrop>false</ScaleCrop>
  <Company/>
  <LinksUpToDate>false</LinksUpToDate>
  <CharactersWithSpaces>11768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Rodriguez</dc:creator>
  <cp:lastModifiedBy>Rachel Rodriguez</cp:lastModifiedBy>
  <cp:revision>2</cp:revision>
  <dcterms:created xsi:type="dcterms:W3CDTF">2026-09-23T19:02:00Z</dcterms:created>
  <dcterms:modified xsi:type="dcterms:W3CDTF">2026-09-23T19:02:00Z</dcterms:modified>
</cp:coreProperties>
</file>